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F8" w:rsidRPr="007D63F8" w:rsidRDefault="007D63F8" w:rsidP="007D63F8">
      <w:pPr>
        <w:pStyle w:val="NormalWeb"/>
        <w:bidi/>
        <w:jc w:val="center"/>
        <w:rPr>
          <w:rFonts w:ascii="IranYekan" w:hAnsi="IranYekan" w:cs="B Nazanin"/>
          <w:color w:val="212529"/>
          <w:sz w:val="22"/>
          <w:szCs w:val="22"/>
        </w:rPr>
      </w:pPr>
      <w:r w:rsidRPr="007D63F8">
        <w:rPr>
          <w:rStyle w:val="Strong"/>
          <w:rFonts w:ascii="IranYekan" w:hAnsi="IranYekan" w:cs="B Nazanin"/>
          <w:color w:val="000000"/>
          <w:sz w:val="22"/>
          <w:szCs w:val="22"/>
          <w:rtl/>
        </w:rPr>
        <w:t>راهنمای استفاده از دستگاه اسپکتروفوتومتر</w:t>
      </w:r>
      <w:r w:rsidRPr="007D63F8">
        <w:rPr>
          <w:rStyle w:val="Strong"/>
          <w:rFonts w:ascii="IranYekan" w:hAnsi="IranYekan" w:cs="B Nazanin"/>
          <w:color w:val="000000"/>
          <w:sz w:val="22"/>
          <w:szCs w:val="22"/>
        </w:rPr>
        <w:t>SHIMADZU</w:t>
      </w:r>
      <w:r w:rsidRPr="007D63F8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r w:rsidRPr="007D63F8">
        <w:rPr>
          <w:rStyle w:val="Strong"/>
          <w:rFonts w:ascii="IranYekan" w:hAnsi="IranYekan" w:cs="B Nazanin"/>
          <w:color w:val="000000"/>
          <w:sz w:val="22"/>
          <w:szCs w:val="22"/>
          <w:rtl/>
        </w:rPr>
        <w:t>مدل</w:t>
      </w:r>
      <w:r w:rsidRPr="007D63F8">
        <w:rPr>
          <w:rStyle w:val="Strong"/>
          <w:rFonts w:ascii="IranYekan" w:hAnsi="IranYekan" w:cs="B Nazanin"/>
          <w:color w:val="000000"/>
          <w:sz w:val="22"/>
          <w:szCs w:val="22"/>
        </w:rPr>
        <w:t>UV-1800</w:t>
      </w:r>
    </w:p>
    <w:p w:rsidR="007D63F8" w:rsidRPr="007D63F8" w:rsidRDefault="007D63F8" w:rsidP="007D63F8">
      <w:pPr>
        <w:pStyle w:val="NormalWeb"/>
        <w:bidi/>
        <w:jc w:val="center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</w:p>
    <w:p w:rsidR="007D63F8" w:rsidRPr="007D63F8" w:rsidRDefault="007D63F8" w:rsidP="007D63F8">
      <w:pPr>
        <w:pStyle w:val="NormalWeb"/>
        <w:bidi/>
        <w:spacing w:afterAutospacing="0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مشخصات دستگاه:</w:t>
      </w:r>
    </w:p>
    <w:p w:rsidR="007D63F8" w:rsidRPr="007D63F8" w:rsidRDefault="007D63F8" w:rsidP="007D63F8">
      <w:pPr>
        <w:pStyle w:val="NormalWeb"/>
        <w:bidi/>
        <w:spacing w:afterAutospacing="0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1ـ محدودة طول موج تولید شده: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190-1100 nm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.</w:t>
      </w:r>
    </w:p>
    <w:p w:rsidR="007D63F8" w:rsidRPr="007D63F8" w:rsidRDefault="007D63F8" w:rsidP="007D63F8">
      <w:pPr>
        <w:pStyle w:val="NormalWeb"/>
        <w:bidi/>
        <w:spacing w:afterAutospacing="0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2ـ محدودة قابل اندازه گیری</w:t>
      </w:r>
      <w:r w:rsidRPr="007D63F8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:</w:t>
      </w:r>
      <w:r w:rsidRPr="007D63F8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Absorbance:-4 to +4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و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Transmittance:0-400%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.</w:t>
      </w:r>
    </w:p>
    <w:p w:rsidR="007D63F8" w:rsidRPr="007D63F8" w:rsidRDefault="007D63F8" w:rsidP="007D63F8">
      <w:pPr>
        <w:pStyle w:val="NormalWeb"/>
        <w:bidi/>
        <w:spacing w:afterAutospacing="0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3ـ دقّت اندازه گیری: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0.1 nm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.</w:t>
      </w:r>
    </w:p>
    <w:p w:rsidR="007D63F8" w:rsidRPr="007D63F8" w:rsidRDefault="007D63F8" w:rsidP="007D63F8">
      <w:pPr>
        <w:pStyle w:val="NormalWeb"/>
        <w:bidi/>
        <w:spacing w:afterAutospacing="0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4ـ منبع نور مرئی: لامپ تنگستن.</w:t>
      </w:r>
    </w:p>
    <w:p w:rsidR="007D63F8" w:rsidRPr="007D63F8" w:rsidRDefault="007D63F8" w:rsidP="007D63F8">
      <w:pPr>
        <w:pStyle w:val="NormalWeb"/>
        <w:bidi/>
        <w:spacing w:afterAutospacing="0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5ـ منبع نور فرابنفش: لامپ دوتریم(</w:t>
      </w:r>
      <w:r w:rsidRPr="007D63F8">
        <w:rPr>
          <w:rFonts w:ascii="IranYekan" w:hAnsi="IranYekan" w:cs="B Nazanin"/>
          <w:color w:val="212529"/>
          <w:sz w:val="22"/>
          <w:szCs w:val="22"/>
        </w:rPr>
        <w:t>Deuterium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).</w:t>
      </w:r>
    </w:p>
    <w:p w:rsidR="007D63F8" w:rsidRPr="007D63F8" w:rsidRDefault="007D63F8" w:rsidP="007D63F8">
      <w:pPr>
        <w:pStyle w:val="NormalWeb"/>
        <w:bidi/>
        <w:jc w:val="center"/>
        <w:rPr>
          <w:rFonts w:ascii="IranYekan" w:hAnsi="IranYekan" w:cs="B Nazanin"/>
          <w:color w:val="212529"/>
          <w:sz w:val="22"/>
          <w:szCs w:val="22"/>
          <w:rtl/>
        </w:rPr>
      </w:pPr>
      <w:bookmarkStart w:id="0" w:name="_GoBack"/>
      <w:bookmarkEnd w:id="0"/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نکاتی که هنگام کار با دستگاه</w:t>
      </w:r>
      <w:r w:rsidRPr="007D63F8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Style w:val="Strong"/>
          <w:rFonts w:ascii="IranYekan" w:hAnsi="IranYekan" w:cs="B Nazanin"/>
          <w:color w:val="212529"/>
          <w:sz w:val="22"/>
          <w:szCs w:val="22"/>
        </w:rPr>
        <w:t>UV-1800</w:t>
      </w:r>
      <w:r w:rsidRPr="007D63F8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، باید مد نظر قرار گیرد: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1ـ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پس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از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اتّصال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به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برق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و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روشن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نمودن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دستگاه،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صبر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کنید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تا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دستگاه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آماده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شود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(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حدود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4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دقیقه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طول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می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کشد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).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پس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از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شنیدن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صدای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بوق،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می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توانید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سنجش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مورد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نظر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را انجام دهید.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2ـ برای اندازه گیری جذب محلول مورد نظر در طول موج دلخواه، از روش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Photometric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استفاده نمایید.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3ـ برای بدست آوردن طیف جذبی محلول مورد نظر در طول موج دلخواه، از روش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Spectrum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  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استفاده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 xml:space="preserve"> </w:t>
      </w:r>
      <w:r w:rsidRPr="007D63F8">
        <w:rPr>
          <w:rFonts w:ascii="IranYekan" w:hAnsi="IranYekan" w:cs="B Nazanin" w:hint="cs"/>
          <w:color w:val="212529"/>
          <w:sz w:val="22"/>
          <w:szCs w:val="22"/>
          <w:rtl/>
        </w:rPr>
        <w:t>کنید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.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4ـ برای سنجش فعالیت آنزیمی از متد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Kinetics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و برای سنجش غلظت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DNA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و پروتئین، از روش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Bio-method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استفاده کنید.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5ـ می توانید از صفحه نمایش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LCD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دستگاه یا از طریق نرم افزار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proofErr w:type="spellStart"/>
      <w:r w:rsidRPr="007D63F8">
        <w:rPr>
          <w:rFonts w:ascii="IranYekan" w:hAnsi="IranYekan" w:cs="B Nazanin"/>
          <w:color w:val="212529"/>
          <w:sz w:val="22"/>
          <w:szCs w:val="22"/>
        </w:rPr>
        <w:t>UVProbe</w:t>
      </w:r>
      <w:proofErr w:type="spellEnd"/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و کامپیوتر، سنجش مورد نظر را انجام دهید.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6ـ هرگز دستگاه را با الکل یا محلولهای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Thinner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پاک نکنید. برای تمیز کردن دستگاه از پارچة خشک و تمیز استفاده کنید.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7ـ در مجاورت دستگاه، از موبایل خود استفاده ننمایید.</w:t>
      </w:r>
    </w:p>
    <w:p w:rsidR="007D63F8" w:rsidRPr="007D63F8" w:rsidRDefault="007D63F8" w:rsidP="007D63F8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7D63F8">
        <w:rPr>
          <w:rFonts w:ascii="IranYekan" w:hAnsi="IranYekan" w:cs="B Nazanin"/>
          <w:color w:val="212529"/>
          <w:sz w:val="22"/>
          <w:szCs w:val="22"/>
          <w:rtl/>
        </w:rPr>
        <w:t>8ـ کووتهای شیشه ای، نور فرابنفش را در طول موجهای پایین تر از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350 nm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جذب می نمایند و برای کار در محدودة پایین تر از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</w:rPr>
        <w:t>350 nm</w:t>
      </w:r>
      <w:r w:rsidRPr="007D63F8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7D63F8">
        <w:rPr>
          <w:rFonts w:ascii="IranYekan" w:hAnsi="IranYekan" w:cs="B Nazanin"/>
          <w:color w:val="212529"/>
          <w:sz w:val="22"/>
          <w:szCs w:val="22"/>
          <w:rtl/>
        </w:rPr>
        <w:t>، از کووتهای کوارتز استفاده نمایید.</w:t>
      </w:r>
    </w:p>
    <w:p w:rsidR="007B15F9" w:rsidRPr="007D63F8" w:rsidRDefault="007B15F9" w:rsidP="007D63F8">
      <w:pPr>
        <w:bidi/>
        <w:rPr>
          <w:rFonts w:cs="B Nazanin"/>
        </w:rPr>
      </w:pPr>
    </w:p>
    <w:sectPr w:rsidR="007B15F9" w:rsidRPr="007D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F8"/>
    <w:rsid w:val="007B15F9"/>
    <w:rsid w:val="007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E2572-BCB0-459D-B0DC-C0DD3C09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6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2025-11-11T08:20:00Z</dcterms:created>
  <dcterms:modified xsi:type="dcterms:W3CDTF">2025-11-11T08:20:00Z</dcterms:modified>
</cp:coreProperties>
</file>