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3EA" w:rsidRPr="009C13EA" w:rsidRDefault="009C13EA" w:rsidP="009C13EA">
      <w:pPr>
        <w:bidi/>
        <w:spacing w:after="0"/>
        <w:ind w:left="360"/>
        <w:rPr>
          <w:rFonts w:ascii="Calibri" w:eastAsia="Calibri" w:hAnsi="Calibri" w:cs="B Nazanin"/>
          <w:u w:val="single"/>
          <w:lang w:bidi="fa-IR"/>
        </w:rPr>
      </w:pPr>
      <w:bookmarkStart w:id="0" w:name="_GoBack"/>
      <w:bookmarkEnd w:id="0"/>
      <w:r w:rsidRPr="009C13EA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- </w:t>
      </w:r>
      <w:r w:rsidRPr="009C13EA">
        <w:rPr>
          <w:rFonts w:ascii="Calibri" w:eastAsia="Calibri" w:hAnsi="Calibri" w:cs="B Nazanin" w:hint="cs"/>
          <w:b/>
          <w:bCs/>
          <w:sz w:val="20"/>
          <w:szCs w:val="20"/>
          <w:u w:val="single"/>
          <w:rtl/>
          <w:lang w:bidi="fa-IR"/>
        </w:rPr>
        <w:t>عنوان درس: : ایمنی و اثر بخشي</w:t>
      </w:r>
      <w:r w:rsidRPr="009C13EA">
        <w:rPr>
          <w:rFonts w:ascii="Calibri" w:eastAsia="Calibri" w:hAnsi="Calibri" w:cs="B Nazanin" w:hint="cs"/>
          <w:u w:val="single"/>
          <w:rtl/>
          <w:lang w:bidi="fa-IR"/>
        </w:rPr>
        <w:t xml:space="preserve"> داروها</w:t>
      </w:r>
      <w:r w:rsidRPr="009C13EA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</w:p>
    <w:p w:rsidR="009C13EA" w:rsidRPr="009C13EA" w:rsidRDefault="009C13EA" w:rsidP="009C13EA">
      <w:pPr>
        <w:bidi/>
        <w:spacing w:after="0"/>
        <w:ind w:left="360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9C13EA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دوره </w:t>
      </w:r>
      <w:r w:rsidRPr="009C13EA">
        <w:rPr>
          <w:rFonts w:ascii="Calibri" w:eastAsia="Calibri" w:hAnsi="Calibri" w:cs="B Nazanin"/>
          <w:b/>
          <w:bCs/>
          <w:sz w:val="20"/>
          <w:szCs w:val="20"/>
          <w:lang w:bidi="fa-IR"/>
        </w:rPr>
        <w:t>PhD</w:t>
      </w:r>
      <w:r w:rsidRPr="009C13EA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كنترل دارو و فرآورده های آرایشی و بهداشتی</w:t>
      </w:r>
    </w:p>
    <w:p w:rsidR="009C13EA" w:rsidRPr="009C13EA" w:rsidRDefault="009C13EA" w:rsidP="009C13EA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9C13E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تعداد واحد:  2               نوع واحد: نظري         کد درس: 07                        مسول درس :دکتر منجم زاده</w:t>
      </w:r>
    </w:p>
    <w:p w:rsidR="009C13EA" w:rsidRPr="009C13EA" w:rsidRDefault="009C13EA" w:rsidP="009C13EA">
      <w:pPr>
        <w:bidi/>
        <w:spacing w:after="0" w:line="240" w:lineRule="auto"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9C13EA">
        <w:rPr>
          <w:rFonts w:ascii="Calibri" w:eastAsia="Calibri" w:hAnsi="Calibri" w:cs="B Nazanin" w:hint="cs"/>
          <w:b/>
          <w:bCs/>
          <w:rtl/>
          <w:lang w:bidi="fa-IR"/>
        </w:rPr>
        <w:t xml:space="preserve">هدف کلي درس: </w:t>
      </w:r>
      <w:r w:rsidRPr="009C13EA">
        <w:rPr>
          <w:rFonts w:ascii="Calibri" w:eastAsia="Calibri" w:hAnsi="Calibri" w:cs="B Nazanin" w:hint="cs"/>
          <w:rtl/>
          <w:lang w:bidi="fa-IR"/>
        </w:rPr>
        <w:t>آشنائي دانشجويان با اصول و روشهاي مطالعات هم ارزي زيستي و مطالعات باليني داروها</w:t>
      </w:r>
    </w:p>
    <w:tbl>
      <w:tblPr>
        <w:bidiVisual/>
        <w:tblW w:w="98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6249"/>
        <w:gridCol w:w="1472"/>
        <w:gridCol w:w="788"/>
        <w:gridCol w:w="717"/>
      </w:tblGrid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6249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عنوان بحث</w:t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مدرس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منبع</w:t>
            </w: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کمک آموزشي</w:t>
            </w: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آشنايي با مقررات انجام مطالعات باليني در ايران و سطح بين الملل</w:t>
            </w:r>
          </w:p>
          <w:p w:rsidR="009C13EA" w:rsidRPr="009C13EA" w:rsidRDefault="009C13EA" w:rsidP="009C13EA">
            <w:pPr>
              <w:bidi/>
              <w:spacing w:after="0" w:line="240" w:lineRule="auto"/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 شامل </w:t>
            </w:r>
            <w:hyperlink r:id="rId4" w:history="1"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 xml:space="preserve">ضوابط کارآزمايي باليني داروها بر پايه اصول کارآزمايي باليني مطلوب در ايران </w:t>
              </w:r>
            </w:hyperlink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hyperlink r:id="rId5" w:history="1"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 xml:space="preserve">راهنماي </w:t>
              </w:r>
              <w:r w:rsidRPr="009C13EA">
                <w:rPr>
                  <w:rFonts w:ascii="Tahoma" w:eastAsia="Times New Roman" w:hAnsi="Tahoma" w:cs="B Nazanin"/>
                  <w:sz w:val="16"/>
                  <w:szCs w:val="16"/>
                  <w:lang w:bidi="fa-IR"/>
                </w:rPr>
                <w:t>GMP</w:t>
              </w:r>
              <w:r w:rsidRPr="009C13EA">
                <w:rPr>
                  <w:rFonts w:ascii="Tahoma" w:eastAsia="Times New Roman" w:hAnsi="Tahoma" w:cs="B Nazanin"/>
                  <w:sz w:val="16"/>
                  <w:szCs w:val="16"/>
                  <w:rtl/>
                  <w:lang w:bidi="fa-IR"/>
                </w:rPr>
                <w:t xml:space="preserve"> </w:t>
              </w:r>
              <w:r w:rsidRPr="009C13EA">
                <w:rPr>
                  <w:rFonts w:ascii="Tahoma" w:eastAsia="Times New Roman" w:hAnsi="Tahoma" w:cs="B Nazanin"/>
                  <w:sz w:val="16"/>
                  <w:szCs w:val="16"/>
                  <w:lang w:bidi="fa-IR"/>
                </w:rPr>
                <w:t>)</w:t>
              </w:r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>روش بهينه توليد</w:t>
              </w:r>
              <w:r w:rsidRPr="009C13EA">
                <w:rPr>
                  <w:rFonts w:ascii="Tahoma" w:eastAsia="Times New Roman" w:hAnsi="Tahoma" w:cs="B Nazanin"/>
                  <w:sz w:val="16"/>
                  <w:szCs w:val="16"/>
                  <w:lang w:bidi="fa-IR"/>
                </w:rPr>
                <w:t>(</w:t>
              </w:r>
              <w:r w:rsidRPr="009C13EA">
                <w:rPr>
                  <w:rFonts w:ascii="Calibri" w:eastAsia="Times New Roman" w:hAnsi="Calibri" w:cs="Calibri" w:hint="cs"/>
                  <w:sz w:val="16"/>
                  <w:szCs w:val="16"/>
                  <w:rtl/>
                  <w:lang w:bidi="fa-IR"/>
                </w:rPr>
                <w:t> </w:t>
              </w:r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 xml:space="preserve"> براي فرآورده هاي دارويي تحقيقاتي مورد استفاده در كارآزمايي هاي باليني در انسان</w:t>
              </w:r>
            </w:hyperlink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 -  </w:t>
            </w:r>
            <w:hyperlink r:id="rId6" w:history="1"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>راهنماي انجام مطالعات اتصالي (</w:t>
              </w:r>
              <w:r w:rsidRPr="009C13EA">
                <w:rPr>
                  <w:rFonts w:ascii="Tahoma" w:eastAsia="Times New Roman" w:hAnsi="Tahoma" w:cs="B Nazanin"/>
                  <w:sz w:val="16"/>
                  <w:szCs w:val="16"/>
                  <w:lang w:bidi="fa-IR"/>
                </w:rPr>
                <w:t>Bridging Studies</w:t>
              </w:r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>)</w:t>
              </w:r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lang w:bidi="fa-IR"/>
                </w:rPr>
                <w:t xml:space="preserve"> </w:t>
              </w:r>
            </w:hyperlink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hyperlink r:id="rId7" w:history="1"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 xml:space="preserve"> عوامل نژادي در قابليت پذيرش داده هاي کلينيکي خارجي</w:t>
              </w:r>
            </w:hyperlink>
            <w:r w:rsidRPr="009C13EA">
              <w:rPr>
                <w:rFonts w:ascii="Calibri" w:eastAsia="Calibri" w:hAnsi="Calibri" w:cs="B Nazanin"/>
                <w:sz w:val="16"/>
                <w:szCs w:val="16"/>
                <w:lang w:bidi="fa-IR"/>
              </w:rPr>
              <w:t xml:space="preserve"> </w:t>
            </w: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 xml:space="preserve">- </w:t>
            </w:r>
            <w:hyperlink r:id="rId8" w:history="1">
              <w:r w:rsidRPr="009C13EA">
                <w:rPr>
                  <w:rFonts w:ascii="Tahoma" w:eastAsia="Times New Roman" w:hAnsi="Tahoma" w:cs="B Nazanin" w:hint="cs"/>
                  <w:sz w:val="16"/>
                  <w:szCs w:val="16"/>
                  <w:rtl/>
                  <w:lang w:bidi="fa-IR"/>
                </w:rPr>
                <w:t xml:space="preserve"> اخذ رضايت آگاهانه براي شرکت در مطالعه باليني </w:t>
              </w:r>
            </w:hyperlink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 اصول اخلاق در پژوهشهاي پزشکي  و قوانين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 xml:space="preserve"> GOOD CLINICAL PRACTICE REGULATIONS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>اعلاميه هلسينکي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instrText>ADDIN EN.CITE &lt;EndNote&gt;&lt;Cite&gt;&lt;Author&gt;Helsinki&lt;/Author&gt;&lt;RecNum&gt;12&lt;/RecNum&gt;&lt;record&gt;&lt;rec-number&gt;12&lt;/rec-number&gt;&lt;foreign-keys&gt;&lt;key app="EN" db-id="0d55x95suffd93e05ztp9500sxxapwpsssx2"&gt;12&lt;/key&gt;&lt;/foreign-keys&gt;&lt;ref-type name="Journal Article"&gt;17&lt;/ref-type&gt;&lt;contributors&gt;&lt;authors&gt;&lt;author&gt;Helsinki, D. O. F.&lt;/author&gt;&lt;/authors&gt;&lt;/contributors&gt;&lt;titles&gt;&lt;title&gt;World Medical Association—Declaration of Helsinki&lt;/title&gt;&lt;secondary-title&gt;International Review of the Red Cross&lt;/secondary-title&gt;&lt;/titles&gt;&lt;periodical&gt;&lt;full-title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instrText>International Review of the Red Cross&lt;/full-title&gt;&lt;/periodical&gt;&lt;pages&gt;606-609&lt;/pages&gt;&lt;volume&gt;4&lt;/volume&gt;&lt;number&gt;44&lt;/number&gt;&lt;dates&gt;&lt;/dates&gt;&lt;urls&gt;&lt;/urls&gt;&lt;/record&gt;&lt;/Cite&gt;&lt;/EndNote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t>[1]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end"/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مقررارت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ICH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 و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WHO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و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CHMP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و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FDA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 )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instrText>ADDIN EN.CITE &lt;EndNote&gt;&lt;Cite&gt;&lt;RecNum&gt;11&lt;/RecNum&gt;&lt;record&gt;&lt;rec-number&gt;11&lt;/rec-number&gt;&lt;foreign-keys&gt;&lt;key app="EN" db-id="0d55x95suffd93e05ztp9500sxxapwpsssx2"&gt;11&lt;/key&gt;&lt;/foreign-keys&gt;&lt;ref-type name="Web Page"&gt;12&lt;/ref-type&gt;&lt;contributors&gt;&lt;/contributors&gt;&lt;titles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>&gt;&lt;/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instrText>titles&gt;&lt;dates&gt;&lt;/dates&gt;&lt;urls&gt;&lt;related-urls&gt;&lt;url&gt;-http://www.fdo.ir/Drug/Fa/office/ShowOffice.aspx?itmId=19&lt;/url&gt;&lt;/related-urls&gt;&lt;/urls&gt;&lt;/record&gt;&lt;/Cite&gt;&lt;/EndNote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t>[2]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end"/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سياهي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PMS</w:t>
            </w: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Post marketing surveillance</w:t>
            </w: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instrText>ADDIN EN.CITE &lt;EndNote&gt;&lt;Cite&gt;&lt;Author&gt;Mann&lt;/Author&gt;&lt;Year&gt;2007&lt;/Year&gt;&lt;RecNum&gt;16&lt;/RecNum&gt;&lt;record&gt;&lt;rec-number&gt;16&lt;/rec-number&gt;&lt;foreign-keys&gt;&lt;key app="EN" db-id="0d55x95suffd93e05ztp9500sxxapwpsssx2"&gt;16&lt;/key&gt;&lt;/foreign-keys&gt;&lt;ref-type name="Book"&gt;6&lt;/ref-type&gt;&lt;contributors&gt;&lt;authors&gt;&lt;author&gt;Mann, R. D.&lt;/author&gt;&lt;author&gt;Andrews, E. B.&lt;/author&gt;&lt;author&gt;Andrews, E.&lt;/author&gt;&lt;/authors&gt;&lt;/contributors&gt;&lt;titles&gt;&lt;title&gt;Pharmacovigilance&lt;/title&gt;&lt;/titles&gt;&lt;dates&gt;&lt;year&gt;2007&lt;/year&gt;&lt;/dates&gt;&lt;publisher&gt;John Wiley &amp;amp; Sons&lt;/publisher&gt;&lt;urls&gt;&lt;/urls&gt;&lt;/record&gt;&lt;/Cite&gt;&lt;Cite&gt;&lt;Author&gt;Waller&lt;/Author&gt;&lt;Year&gt;2009&lt;/Year&gt;&lt;RecNum&gt;17&lt;/RecNum&gt;&lt;record&gt;&lt;rec-number&gt;17&lt;/rec-number&gt;&lt;foreign-keys&gt;&lt;key app="EN" db-id="0d55x95suffd93e05ztp9500sxxapwpsssx2"&gt;17&lt;/key&gt;&lt;/foreign-keys&gt;&lt;ref-type name="Book"&gt;6&lt;/ref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>-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instrText>type&gt;&lt;contributors&gt;&lt;authors&gt;&lt;author&gt;Waller, P.&lt;/author&gt;&lt;/authors&gt;&lt;/contributors&gt;&lt;titles&gt;&lt;title&gt;An introduction to pharmacovigilance&lt;/title&gt;&lt;/titles&gt;&lt;dates&gt;&lt;year&gt;2009&lt;/year&gt;&lt;/dates&gt;&lt;publisher&gt;Wiley-Blackwell&lt;/publisher&gt;&lt;urls&gt;&lt;/urls&gt;&lt;/record&gt;&lt;/Cite&gt;&lt;/EndNote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[3, 4]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end"/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منجم زاده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مباني فارماکوکينتيکي هم ارزي زيستي (بيواکي والانسي) و تحليل داده ها اصول آماري در بررسي هم ارزي زيستي  (1)</w:t>
            </w:r>
          </w:p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(شامل تعاريف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Bioavailability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Bioequivalence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Therapeutic equivalence.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 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Crossover design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Single- vs. multiple-dose studies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>- تفاوت مطالعات دارويي بر اساس  گروهاي درماني- شرايطي که الزاما نياز به مطالعات باليني دارند)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instrText>ADDIN EN.CITE &lt;EndNote&gt;&lt;Cite&gt;&lt;Author&gt;Hauschke&lt;/Author&gt;&lt;Year&gt;2007&lt;/Year&gt;&lt;RecNum&gt;9&lt;/RecNum&gt;&lt;record&gt;&lt;rec-number&gt;9&lt;/rec-number&gt;&lt;foreign-keys&gt;&lt;key app="EN" db-id="0d55x95suffd93e05ztp9500sxxapwpsssx2"&gt;9&lt;/key&gt;&lt;/foreign-keys&gt;&lt;ref-type name="Generic"&gt;13&lt;/ref-type&gt;&lt;contributors&gt;&lt;authors&gt;&lt;author&gt;Hauschke, D.&lt;/author&gt;&lt;author&gt;Steinijans, V.&lt;/author&gt;&lt;author&gt;Pigeot, I.&lt;/author&gt;&lt;/authors&gt;&lt;/contributors&gt;&lt;titles&gt;&lt;title&gt;Bioequivalence studies in drug development&lt;/title&gt;&lt;/titles&gt;&lt;dates&gt;&lt;year&gt;2007&lt;/year&gt;&lt;/dates&gt;&lt;publisher&gt;Wiley: West Sussex&lt;/publisher&gt;&lt;urls&gt;&lt;/urls&gt;&lt;/record&gt;&lt;/Cite&gt;&lt;Cite&gt;&lt;Author&gt;Hauschke&lt;/Author&gt;&lt;Year&gt;2007&lt;/Year&gt;&lt;RecNum&gt;9&lt;/RecNum&gt;&lt;record&gt;&lt;rec-number&gt;9&lt;/rec-number&gt;&lt;foreign-keys&gt;&lt;key app="EN" db-id="0d55x95suffd93e05ztp9500sxxapwpsssx2"&gt;9&lt;/key&gt;&lt;/foreign-keys&gt;&lt;ref-type name="Generic"&gt;13&lt;/ref-type&gt;&lt;contributors&gt;&lt;authors&gt;&lt;author&gt;Hauschke, D.&lt;/author&gt;&lt;author&gt;Steinijans, V.&lt;/author&gt;&lt;author&gt;Pigeot, I.&lt;/author&gt;&lt;/authors&gt;&lt;/contributors&gt;&lt;titles&gt;&lt;title&gt;Bioequivalence studies in drug development&lt;/title&gt;&lt;/titles&gt;&lt;dates&gt;&lt;year&gt;2007&lt;/year&gt;&lt;/dates&gt;&lt;publisher&gt;Wiley: West Sussex&lt;/publisher&gt;&lt;urls&gt;&lt;/urls&gt;&lt;/record&gt;&lt;/Cite&gt;&lt;Cite&gt;&lt;Author&gt;Lee&lt;/Author&gt;&lt;Year&gt;2005&lt;/Year&gt;&lt;RecNum&gt;10&lt;/RecNum&gt;&lt;record&gt;&lt;rec-number&gt;10&lt;/rec-number&gt;&lt;foreign-keys&gt;&lt;key app="EN" db-id="0d55x95suffd93e05ztp9500sxxapwpsssx2"&gt;10&lt;/key&gt;&lt;/foreign-keys&gt;&lt;ref-type name="Book"&gt;6&lt;/ref-type&gt;&lt;contributors&gt;&lt;authors&gt;&lt;author&gt;Lee, C. J.&lt;/author&gt;&lt;/authors&gt;&lt;/contributors&gt;&lt;titles&gt;&lt;title&gt;Clinical trials of drugs and biopharmaceuticals&lt;/title&gt;&lt;/titles&gt;&lt;dates&gt;&lt;year&gt;2005&lt;/year&gt;&lt;/dates&gt;&lt;publisher&gt;CRC&lt;/publisher&gt;&lt;urls&gt;&lt;/urls&gt;&lt;/record&gt;&lt;/Cite&gt;&lt;/EndNote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t>[5, 6]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end"/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 شامل حجم نمونه-  مدل هاي آماري 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 xml:space="preserve">Average bioequivalence 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Population bioequivalence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Individual bioequivalence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-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RT/TR crossover design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 xml:space="preserve">Two one-sided t-tests 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confidence interval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 xml:space="preserve">، 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t>Two one-sided Wilcoxon rank sum tests</w:t>
            </w:r>
            <w:r w:rsidRPr="009C13EA">
              <w:rPr>
                <w:rFonts w:ascii="Tahoma" w:eastAsia="Times New Roman" w:hAnsi="Tahoma" w:cs="B Nazanin" w:hint="cs"/>
                <w:sz w:val="16"/>
                <w:szCs w:val="16"/>
                <w:rtl/>
                <w:lang w:bidi="fa-IR"/>
              </w:rPr>
              <w:t>و ..)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lang w:bidi="fa-IR"/>
              </w:rPr>
              <w:instrText>ADDIN EN.CITE &lt;EndNote&gt;&lt;Cite&gt;&lt;Author&gt;Hauschke&lt;/Author&gt;&lt;Year&gt;2007&lt;/Year&gt;&lt;RecNum&gt;9&lt;/RecNum&gt;&lt;record&gt;&lt;rec-number&gt;9&lt;/rec-number&gt;&lt;foreign-keys&gt;&lt;key app="EN" db-id="0d55x95suffd93e05ztp9500sxxapwpsssx2"&gt;9&lt;/key&gt;&lt;/foreign-keys&gt;&lt;ref-type name="Generic"&gt;13&lt;/ref-type&gt;&lt;contributors&gt;&lt;authors&gt;&lt;author&gt;Hauschke, D.&lt;/author&gt;&lt;author&gt;Steinijans, V.&lt;/author&gt;&lt;author&gt;Pigeot, I.&lt;/author&gt;&lt;/authors&gt;&lt;/contributors&gt;&lt;titles&gt;&lt;title&gt;Bioequivalence studies in drug development&lt;/title&gt;&lt;/titles&gt;&lt;dates&gt;&lt;year&gt;2007&lt;/year&gt;&lt;/dates&gt;&lt;publisher&gt;Wiley: West Sussex&lt;/publisher&gt;&lt;urls&gt;&lt;/urls&gt;&lt;/record&gt;&lt;/Cite&gt;&lt;/EndNote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t>[5]</w:t>
            </w:r>
            <w:r w:rsidRPr="009C13EA">
              <w:rPr>
                <w:rFonts w:ascii="Tahoma" w:eastAsia="Times New Roman" w:hAnsi="Tahoma" w:cs="B Nazanin"/>
                <w:sz w:val="16"/>
                <w:szCs w:val="16"/>
                <w:rtl/>
                <w:lang w:bidi="fa-IR"/>
              </w:rPr>
              <w:fldChar w:fldCharType="end"/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وليزاده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مباني فارماکوکينتيکي هم ارزي زيستي (بيواکي والانسي) و تحليل داده ها اصول آماري در بررسي هم ارزي زيستي (2)</w:t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وليزاده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مباني فارماکوکينتيکي هم ارزي زيستي (بيواکي والانسي) و تحليل داده ها اصول آماري در بررسي هم ارزي زيستي (3)</w:t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وليزاده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اصول و انواع مطالعات باليني فاز ها (1)</w:t>
            </w:r>
          </w:p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(شامل فاز هاي يک تا چهار- طراحي مطالعه باليني : انواع گروههاي کنترل-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Blinding</w:t>
            </w: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کنترل پروسه)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instrText>ADDIN EN.CITE &lt;EndNote&gt;&lt;Cite&gt;&lt;Author&gt;Lee&lt;/Author&gt;&lt;Year&gt;2005&lt;/Year&gt;&lt;RecNum&gt;10&lt;/RecNum&gt;&lt;record&gt;&lt;rec-number&gt;10&lt;/rec-number&gt;&lt;foreign-keys&gt;&lt;key app="EN" db-id="0d55x95suffd93e05ztp9500sxxapwpsssx2"&gt;10&lt;/key&gt;&lt;/foreign-keys&gt;&lt;ref-type name="Book"&gt;6&lt;/ref-type&gt;&lt;contributors&gt;&lt;authors&gt;&lt;author&gt;Lee, C. J.&lt;/author&gt;&lt;/authors&gt;&lt;/contributors&gt;&lt;titles&gt;&lt;title&gt;Clinical trials of drugs and biopharmaceuticals&lt;/title&gt;&lt;/titles&gt;&lt;dates&gt;&lt;year&gt;2005&lt;/year&gt;&lt;/dates&gt;&lt;publisher&gt;CRC&lt;/publisher&gt;&lt;urls&gt;&lt;/urls&gt;&lt;/record&gt;&lt;/Cite&gt;&lt;/EndNote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[6]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end"/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ستاری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اصول و انواع مطالعات باليني فاز ها (2)</w:t>
            </w:r>
          </w:p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(شامل فاز هاي يک تا چهار- طراحي مطالعه باليني : انواع گروههاي کنترل-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>Blinding</w:t>
            </w: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کنترل پروسه)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instrText>ADDIN EN.CITE &lt;EndNote&gt;&lt;Cite&gt;&lt;Author&gt;Lee&lt;/Author&gt;&lt;Year&gt;2005&lt;/Year&gt;&lt;RecNum&gt;10&lt;/RecNum&gt;&lt;record&gt;&lt;rec-number&gt;10&lt;/rec-number&gt;&lt;foreign-keys&gt;&lt;key app="EN" db-id="0d55x95suffd93e05ztp9500sxxapwpsssx2"&gt;10&lt;/key&gt;&lt;/foreign-keys&gt;&lt;ref-type name="Book"&gt;6&lt;/ref-type&gt;&lt;contributors&gt;&lt;authors&gt;&lt;author&gt;Lee, C. J.&lt;/author&gt;&lt;/authors&gt;&lt;/contributors&gt;&lt;titles&gt;&lt;title&gt;Clinical trials of drugs and biopharmaceuticals&lt;/title&gt;&lt;/titles&gt;&lt;dates&gt;&lt;year&gt;2005&lt;/year&gt;&lt;/dates&gt;&lt;publisher&gt;CRC&lt;/publisher&gt;&lt;urls&gt;&lt;/urls&gt;&lt;/record&gt;&lt;/Cite&gt;&lt;/EndNote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[6]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end"/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ستاری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rPr>
          <w:trHeight w:val="235"/>
        </w:trPr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مطالعات فارماکوويژولانس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begin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instrText>ADDIN EN.CITE &lt;EndNote&gt;&lt;Cite&gt;&lt;Author&gt;Gagne&lt;/Author&gt;&lt;Year&gt;2009&lt;/Year&gt;&lt;RecNum&gt;15&lt;/RecNum&gt;&lt;record&gt;&lt;rec-number&gt;15&lt;/rec-number&gt;&lt;foreign-keys&gt;&lt;key app="EN" db-id="0d55x95suffd93e05ztp9500sxxapwpsssx2"&gt;15&lt;/key&gt;&lt;/foreign-keys&gt;&lt;ref-type name="Journal Article"&gt;17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>&lt;/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instrText>ref-type&gt;&lt;contributors&gt;&lt;authors&gt;&lt;author&gt;Gagne, J. J.&lt;/author&gt;&lt;/authors&gt;&lt;/contributors&gt;&lt;titles&gt;&lt;title&gt;Good Pharmacovigilance Practice Guide: Compiled by the Medicines and Healthcare products Regulatory Agency. Published by Pharmaceutical Press, an imprint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 xml:space="preserve"> 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instrText>of RPS Publishing, London, UK, 2009. ISBN 978-0-85369-834-0. Paperbound, xviii+ 211 pp.(24.5 x 17 cm), $55. www. pharmpress. com&lt;/title&gt;&lt;secondary-title&gt;The Annals of Pharmacotherapy&lt;/secondary-title&gt;&lt;/titles&gt;&lt;periodical&gt;&lt;full-title&gt;The Annals of Pharmacotherapy&lt;/full-title&gt;&lt;/periodical&gt;&lt;pages&gt;986&lt;/pages&gt;&lt;volume&gt;43&lt;/volume&gt;&lt;number&gt;5&lt;/number&gt;&lt;dates&gt;&lt;year&gt;2009&lt;/year&gt;&lt;/dates&gt;&lt;urls&gt;&lt;/urls&gt;&lt;/record&gt;&lt;/Cite&gt;&lt;/EndNote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instrText>&gt;</w:instrTex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separate"/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[7]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fldChar w:fldCharType="end"/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منجم زاده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مکانيسمهاي سلولي و مولکولي دخيل در سميت داروها</w:t>
            </w:r>
          </w:p>
        </w:tc>
        <w:tc>
          <w:tcPr>
            <w:tcW w:w="1472" w:type="dxa"/>
            <w:vAlign w:val="center"/>
          </w:tcPr>
          <w:p w:rsidR="009C13EA" w:rsidRPr="009C13EA" w:rsidRDefault="009C13EA" w:rsidP="009C13EA">
            <w:pPr>
              <w:bidi/>
              <w:spacing w:before="100" w:beforeAutospacing="1" w:after="100" w:afterAutospacing="1" w:line="240" w:lineRule="auto"/>
              <w:jc w:val="center"/>
              <w:outlineLvl w:val="2"/>
              <w:rPr>
                <w:rFonts w:ascii="Lotus" w:eastAsia="Times New Roman" w:hAnsi="Lotus" w:cs="B Nazanin"/>
                <w:sz w:val="16"/>
                <w:szCs w:val="16"/>
                <w:rtl/>
              </w:rPr>
            </w:pPr>
            <w:r w:rsidRPr="009C13EA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>دکتر اقبال</w:t>
            </w:r>
          </w:p>
        </w:tc>
        <w:tc>
          <w:tcPr>
            <w:tcW w:w="788" w:type="dxa"/>
            <w:vAlign w:val="center"/>
          </w:tcPr>
          <w:p w:rsidR="009C13EA" w:rsidRPr="009C13EA" w:rsidRDefault="009C13EA" w:rsidP="009C13EA">
            <w:pPr>
              <w:bidi/>
              <w:spacing w:before="100" w:beforeAutospacing="1" w:after="100" w:afterAutospacing="1" w:line="240" w:lineRule="auto"/>
              <w:jc w:val="center"/>
              <w:outlineLvl w:val="2"/>
              <w:rPr>
                <w:rFonts w:ascii="Lotus" w:eastAsia="Times New Roman" w:hAnsi="Lotus" w:cs="B Nazanin"/>
                <w:sz w:val="16"/>
                <w:szCs w:val="16"/>
                <w:rtl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rPr>
          <w:trHeight w:val="201"/>
        </w:trPr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موتاژنز و کارسينوژنز</w:t>
            </w:r>
          </w:p>
        </w:tc>
        <w:tc>
          <w:tcPr>
            <w:tcW w:w="1472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اقبال</w:t>
            </w:r>
          </w:p>
        </w:tc>
        <w:tc>
          <w:tcPr>
            <w:tcW w:w="788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rPr>
          <w:trHeight w:val="364"/>
        </w:trPr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بررسي اثر داروها و سموم در سطح پروتئين</w:t>
            </w:r>
          </w:p>
        </w:tc>
        <w:tc>
          <w:tcPr>
            <w:tcW w:w="1472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اميدي</w:t>
            </w:r>
          </w:p>
        </w:tc>
        <w:tc>
          <w:tcPr>
            <w:tcW w:w="788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کليات روشهاي تحقيق سلولي و مولکولي و کاربرد آن در سلامتي دارو</w:t>
            </w:r>
          </w:p>
        </w:tc>
        <w:tc>
          <w:tcPr>
            <w:tcW w:w="1472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برار</w:t>
            </w:r>
          </w:p>
        </w:tc>
        <w:tc>
          <w:tcPr>
            <w:tcW w:w="788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استانداردهاو قوانين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بين المللي ايمني دارو</w:t>
            </w:r>
          </w:p>
        </w:tc>
        <w:tc>
          <w:tcPr>
            <w:tcW w:w="1472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قندفروش</w:t>
            </w:r>
          </w:p>
        </w:tc>
        <w:tc>
          <w:tcPr>
            <w:tcW w:w="788" w:type="dxa"/>
            <w:vAlign w:val="center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بيولوژي مولکولي سرطان</w:t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مولوی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تکنيکهاي مولکولار بيولوژي</w:t>
            </w:r>
            <w:r w:rsidRPr="009C13EA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(1)</w:t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مولوی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تکنيکهاي مولکولار بيولوژي (2)</w:t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دکتر مولوی</w:t>
            </w: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200" w:line="240" w:lineRule="auto"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C13EA" w:rsidRPr="009C13EA" w:rsidTr="00D34EF4">
        <w:tc>
          <w:tcPr>
            <w:tcW w:w="584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49" w:type="dxa"/>
            <w:vAlign w:val="center"/>
          </w:tcPr>
          <w:p w:rsidR="009C13EA" w:rsidRPr="009C13EA" w:rsidRDefault="009C13EA" w:rsidP="009C13EA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C13E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امتحان</w:t>
            </w:r>
          </w:p>
        </w:tc>
        <w:tc>
          <w:tcPr>
            <w:tcW w:w="1472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7" w:type="dxa"/>
          </w:tcPr>
          <w:p w:rsidR="009C13EA" w:rsidRPr="009C13EA" w:rsidRDefault="009C13EA" w:rsidP="009C13E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9C13EA" w:rsidRPr="009C13EA" w:rsidRDefault="009C13EA" w:rsidP="009C13EA">
      <w:pPr>
        <w:overflowPunct w:val="0"/>
        <w:autoSpaceDE w:val="0"/>
        <w:autoSpaceDN w:val="0"/>
        <w:bidi/>
        <w:adjustRightInd w:val="0"/>
        <w:spacing w:after="0" w:line="240" w:lineRule="auto"/>
        <w:jc w:val="lowKashida"/>
        <w:rPr>
          <w:rFonts w:ascii="Tahoma" w:eastAsia="Calibri" w:hAnsi="Tahoma" w:cs="B Nazanin"/>
          <w:sz w:val="16"/>
          <w:szCs w:val="16"/>
          <w:rtl/>
          <w:lang w:bidi="fa-IR"/>
        </w:rPr>
      </w:pPr>
      <w:r w:rsidRPr="009C13EA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شيوه ارزشيابي دانشجو:</w:t>
      </w:r>
      <w:r w:rsidRPr="009C13EA">
        <w:rPr>
          <w:rFonts w:ascii="Tahoma" w:eastAsia="Calibri" w:hAnsi="Tahoma" w:cs="B Nazanin"/>
          <w:sz w:val="16"/>
          <w:szCs w:val="16"/>
          <w:rtl/>
          <w:lang w:bidi="fa-IR"/>
        </w:rPr>
        <w:t xml:space="preserve"> - </w:t>
      </w:r>
      <w:r w:rsidRPr="009C13EA">
        <w:rPr>
          <w:rFonts w:ascii="Tahoma" w:eastAsia="Calibri" w:hAnsi="Tahoma" w:cs="B Nazanin" w:hint="cs"/>
          <w:sz w:val="16"/>
          <w:szCs w:val="16"/>
          <w:rtl/>
          <w:lang w:bidi="fa-IR"/>
        </w:rPr>
        <w:t xml:space="preserve">شرکت در جلسات و ارائه گزارش (20 %) </w:t>
      </w:r>
      <w:r w:rsidRPr="009C13EA">
        <w:rPr>
          <w:rFonts w:ascii="Tahoma" w:eastAsia="Calibri" w:hAnsi="Tahoma" w:cs="B Nazanin"/>
          <w:sz w:val="16"/>
          <w:szCs w:val="16"/>
          <w:rtl/>
          <w:lang w:bidi="fa-IR"/>
        </w:rPr>
        <w:t xml:space="preserve">- </w:t>
      </w:r>
      <w:r w:rsidRPr="009C13EA">
        <w:rPr>
          <w:rFonts w:ascii="Tahoma" w:eastAsia="Calibri" w:hAnsi="Tahoma" w:cs="B Nazanin" w:hint="cs"/>
          <w:sz w:val="16"/>
          <w:szCs w:val="16"/>
          <w:rtl/>
          <w:lang w:bidi="fa-IR"/>
        </w:rPr>
        <w:t>امتحان تستي يا تشريحي</w:t>
      </w:r>
      <w:r w:rsidRPr="009C13EA">
        <w:rPr>
          <w:rFonts w:ascii="Tahoma" w:eastAsia="Calibri" w:hAnsi="Tahoma" w:cs="B Nazanin"/>
          <w:sz w:val="16"/>
          <w:szCs w:val="16"/>
          <w:rtl/>
          <w:lang w:bidi="fa-IR"/>
        </w:rPr>
        <w:t xml:space="preserve"> </w:t>
      </w:r>
      <w:r w:rsidRPr="009C13EA">
        <w:rPr>
          <w:rFonts w:ascii="Tahoma" w:eastAsia="Calibri" w:hAnsi="Tahoma" w:cs="B Nazanin" w:hint="cs"/>
          <w:sz w:val="16"/>
          <w:szCs w:val="16"/>
          <w:rtl/>
          <w:lang w:bidi="fa-IR"/>
        </w:rPr>
        <w:t>(80 %)</w:t>
      </w:r>
    </w:p>
    <w:p w:rsidR="009C13EA" w:rsidRPr="009C13EA" w:rsidRDefault="009C13EA" w:rsidP="009C13EA">
      <w:pPr>
        <w:spacing w:after="0" w:line="240" w:lineRule="auto"/>
        <w:rPr>
          <w:rFonts w:ascii="Times New Roman" w:eastAsia="Calibri" w:hAnsi="Times New Roman" w:cs="B Nazanin"/>
          <w:sz w:val="12"/>
          <w:szCs w:val="12"/>
          <w:lang w:bidi="fa-IR"/>
        </w:rPr>
      </w:pP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References:</w:t>
      </w:r>
    </w:p>
    <w:p w:rsidR="009C13EA" w:rsidRPr="009C13EA" w:rsidRDefault="009C13EA" w:rsidP="009C13EA">
      <w:pPr>
        <w:spacing w:after="0" w:line="240" w:lineRule="auto"/>
        <w:ind w:left="720" w:hanging="720"/>
        <w:rPr>
          <w:rFonts w:ascii="Times New Roman" w:eastAsia="Calibri" w:hAnsi="Times New Roman" w:cs="B Nazanin"/>
          <w:sz w:val="12"/>
          <w:szCs w:val="12"/>
          <w:rtl/>
          <w:lang w:bidi="fa-IR"/>
        </w:rPr>
      </w:pP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fldChar w:fldCharType="begin"/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instrText xml:space="preserve"> </w:instrTex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instrText>ADDIN EN.REFLIST</w:instrTex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instrText xml:space="preserve"> </w:instrTex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fldChar w:fldCharType="separate"/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 xml:space="preserve">[1] 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D.O.F. Helsinki.World Medical Association—Declaration of Helsinki</w:t>
      </w:r>
      <w:r w:rsidRPr="009C13EA">
        <w:rPr>
          <w:rFonts w:ascii="Times New Roman" w:eastAsia="Calibri" w:hAnsi="Times New Roman" w:cs="B Nazanin"/>
          <w:i/>
          <w:sz w:val="12"/>
          <w:szCs w:val="12"/>
          <w:lang w:bidi="fa-IR"/>
        </w:rPr>
        <w:t>.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 xml:space="preserve"> International Review of the Red Cross. </w:t>
      </w:r>
      <w:r w:rsidRPr="009C13EA">
        <w:rPr>
          <w:rFonts w:ascii="Times New Roman" w:eastAsia="Calibri" w:hAnsi="Times New Roman" w:cs="B Nazanin"/>
          <w:b/>
          <w:sz w:val="12"/>
          <w:szCs w:val="12"/>
          <w:lang w:bidi="fa-IR"/>
        </w:rPr>
        <w:t>4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(44):606-609</w: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.</w:t>
      </w:r>
    </w:p>
    <w:p w:rsidR="009C13EA" w:rsidRPr="009C13EA" w:rsidRDefault="009C13EA" w:rsidP="009C13EA">
      <w:pPr>
        <w:spacing w:after="0" w:line="240" w:lineRule="auto"/>
        <w:ind w:left="720" w:hanging="720"/>
        <w:rPr>
          <w:rFonts w:ascii="Times New Roman" w:eastAsia="Calibri" w:hAnsi="Times New Roman" w:cs="B Nazanin"/>
          <w:sz w:val="12"/>
          <w:szCs w:val="12"/>
          <w:rtl/>
          <w:lang w:bidi="fa-IR"/>
        </w:rPr>
      </w:pP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 xml:space="preserve">[2]   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Available from -</w:t>
      </w:r>
      <w:hyperlink r:id="rId9" w:history="1">
        <w:r w:rsidRPr="009C13EA">
          <w:rPr>
            <w:rFonts w:ascii="Times New Roman" w:eastAsia="Calibri" w:hAnsi="Times New Roman" w:cs="B Nazanin"/>
            <w:sz w:val="12"/>
            <w:szCs w:val="12"/>
            <w:u w:val="single"/>
            <w:lang w:bidi="fa-IR"/>
          </w:rPr>
          <w:t>http://www.fdo.ir/Drug/Fa/office/ShowOffice.aspx?itmId=19</w:t>
        </w:r>
      </w:hyperlink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.</w:t>
      </w:r>
    </w:p>
    <w:p w:rsidR="009C13EA" w:rsidRPr="009C13EA" w:rsidRDefault="009C13EA" w:rsidP="009C13EA">
      <w:pPr>
        <w:spacing w:after="0" w:line="240" w:lineRule="auto"/>
        <w:ind w:left="720" w:hanging="720"/>
        <w:jc w:val="both"/>
        <w:rPr>
          <w:rFonts w:ascii="Times New Roman" w:eastAsia="Calibri" w:hAnsi="Times New Roman" w:cs="B Nazanin"/>
          <w:sz w:val="12"/>
          <w:szCs w:val="12"/>
          <w:rtl/>
          <w:lang w:bidi="fa-IR"/>
        </w:rPr>
      </w:pP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 xml:space="preserve">[3] 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R.D. Mann, E.B. Andrews, and E. Andrews.Pharmacovigilance. John Wiley &amp; Sons. 2007</w: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.</w:t>
      </w:r>
    </w:p>
    <w:p w:rsidR="009C13EA" w:rsidRPr="009C13EA" w:rsidRDefault="009C13EA" w:rsidP="009C13EA">
      <w:pPr>
        <w:spacing w:after="0" w:line="240" w:lineRule="auto"/>
        <w:ind w:left="720" w:hanging="720"/>
        <w:rPr>
          <w:rFonts w:ascii="Times New Roman" w:eastAsia="Calibri" w:hAnsi="Times New Roman" w:cs="B Nazanin"/>
          <w:sz w:val="12"/>
          <w:szCs w:val="12"/>
          <w:rtl/>
          <w:lang w:bidi="fa-IR"/>
        </w:rPr>
      </w:pP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[4]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P. Waller.An introduction to pharmacovigilance. Wiley-Blackwell. 2009</w: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.</w:t>
      </w:r>
    </w:p>
    <w:p w:rsidR="009C13EA" w:rsidRPr="009C13EA" w:rsidRDefault="009C13EA" w:rsidP="009C13EA">
      <w:pPr>
        <w:spacing w:after="0" w:line="240" w:lineRule="auto"/>
        <w:ind w:left="720" w:hanging="720"/>
        <w:rPr>
          <w:rFonts w:ascii="Times New Roman" w:eastAsia="Calibri" w:hAnsi="Times New Roman" w:cs="B Nazanin"/>
          <w:sz w:val="12"/>
          <w:szCs w:val="12"/>
          <w:rtl/>
          <w:lang w:bidi="fa-IR"/>
        </w:rPr>
      </w:pP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lastRenderedPageBreak/>
        <w:t xml:space="preserve">[5] 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 xml:space="preserve"> D. Hauschke, V. Steinijans, and I. Pigeot, Bioequivalence studies in drug development. 2007, Wiley: West Sussex</w: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.</w:t>
      </w:r>
    </w:p>
    <w:p w:rsidR="009C13EA" w:rsidRPr="009C13EA" w:rsidRDefault="009C13EA" w:rsidP="009C13EA">
      <w:pPr>
        <w:spacing w:after="0" w:line="240" w:lineRule="auto"/>
        <w:ind w:left="720" w:hanging="720"/>
        <w:jc w:val="both"/>
        <w:rPr>
          <w:rFonts w:ascii="Times New Roman" w:eastAsia="Calibri" w:hAnsi="Times New Roman" w:cs="B Nazanin"/>
          <w:sz w:val="12"/>
          <w:szCs w:val="12"/>
          <w:rtl/>
          <w:lang w:bidi="fa-IR"/>
        </w:rPr>
      </w:pP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 xml:space="preserve">[6] 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C.J. Lee.Clinical trials of drugs and biopharmaceuticals. CRC. 2005</w: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.</w:t>
      </w:r>
    </w:p>
    <w:p w:rsidR="00107E9A" w:rsidRDefault="009C13EA" w:rsidP="009C13EA"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>[7]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 xml:space="preserve"> J.J. Gagne.Good Pharmacovigilance Practice Guide: Compiled by the Medicines and Healthcare products Regulatory Agency. Published by Pharmaceutical Press, an imprint of RPS Publishing, London, UK</w: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t xml:space="preserve">, 2009. 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ISBN 978-0-85369-834-0. Paperbound, xviii+ 211 pp.(24.5 x 17 cm), $55. www. pharmpress. com</w:t>
      </w:r>
      <w:r w:rsidRPr="009C13EA">
        <w:rPr>
          <w:rFonts w:ascii="Times New Roman" w:eastAsia="Calibri" w:hAnsi="Times New Roman" w:cs="B Nazanin"/>
          <w:i/>
          <w:sz w:val="12"/>
          <w:szCs w:val="12"/>
          <w:lang w:bidi="fa-IR"/>
        </w:rPr>
        <w:t>.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 xml:space="preserve"> The Annals of Pharmacotherapy. </w:t>
      </w:r>
      <w:r w:rsidRPr="009C13EA">
        <w:rPr>
          <w:rFonts w:ascii="Times New Roman" w:eastAsia="Calibri" w:hAnsi="Times New Roman" w:cs="B Nazanin"/>
          <w:b/>
          <w:sz w:val="12"/>
          <w:szCs w:val="12"/>
          <w:lang w:bidi="fa-IR"/>
        </w:rPr>
        <w:t>43</w:t>
      </w:r>
      <w:r w:rsidRPr="009C13EA">
        <w:rPr>
          <w:rFonts w:ascii="Times New Roman" w:eastAsia="Calibri" w:hAnsi="Times New Roman" w:cs="B Nazanin"/>
          <w:sz w:val="12"/>
          <w:szCs w:val="12"/>
          <w:lang w:bidi="fa-IR"/>
        </w:rPr>
        <w:t>(5):986, 2009</w:t>
      </w:r>
      <w:r w:rsidRPr="009C13EA">
        <w:rPr>
          <w:rFonts w:ascii="Times New Roman" w:eastAsia="Calibri" w:hAnsi="Times New Roman" w:cs="B Nazanin"/>
          <w:sz w:val="12"/>
          <w:szCs w:val="12"/>
          <w:rtl/>
          <w:lang w:bidi="fa-IR"/>
        </w:rPr>
        <w:fldChar w:fldCharType="end"/>
      </w:r>
    </w:p>
    <w:sectPr w:rsidR="00107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EA"/>
    <w:rsid w:val="00107E9A"/>
    <w:rsid w:val="00323FB2"/>
    <w:rsid w:val="009C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26D74-5C16-46B0-B7A9-7336E0E6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o.ir/UploadedFiles/gFiles/b7e3f68e492e4a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do.ir/UploadedFiles/gFiles/ee8feaa9a1704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o.ir/UploadedFiles/gFiles/5f588b5974e54a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do.ir/UploadedFiles/gFiles/228945457cab4ad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do.ir/UploadedFiles/gFiles/406c80d2324042d.pdf" TargetMode="External"/><Relationship Id="rId9" Type="http://schemas.openxmlformats.org/officeDocument/2006/relationships/hyperlink" Target="http://www.fdo.ir/Drug/Fa/office/ShowOffice.aspx?itmId=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2025-09-13T05:43:00Z</dcterms:created>
  <dcterms:modified xsi:type="dcterms:W3CDTF">2025-09-13T05:43:00Z</dcterms:modified>
</cp:coreProperties>
</file>