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"/>
        <w:gridCol w:w="3292"/>
        <w:gridCol w:w="5868"/>
      </w:tblGrid>
      <w:tr w:rsidR="00667ED3" w:rsidRPr="00EA7F43" w:rsidTr="00EE3C74">
        <w:trPr>
          <w:trHeight w:val="530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:rsidR="00667ED3" w:rsidRPr="00EA7F43" w:rsidRDefault="00667ED3" w:rsidP="00667ED3">
            <w:pPr>
              <w:tabs>
                <w:tab w:val="center" w:pos="43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ab/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Albumin </w:t>
            </w:r>
            <w:r w:rsidRPr="00C119E0">
              <w:rPr>
                <w:rFonts w:asciiTheme="minorBidi" w:hAnsiTheme="minorBidi"/>
                <w:b/>
                <w:bCs/>
                <w:sz w:val="24"/>
                <w:szCs w:val="24"/>
              </w:rPr>
              <w:t>indication checklist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92" w:type="dxa"/>
          </w:tcPr>
          <w:p w:rsidR="00667ED3" w:rsidRPr="004E51CC" w:rsidRDefault="00667ED3" w:rsidP="00F05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E5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Indication</w:t>
            </w:r>
          </w:p>
        </w:tc>
        <w:tc>
          <w:tcPr>
            <w:tcW w:w="5868" w:type="dxa"/>
          </w:tcPr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E51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Notes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1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Paracentesis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spacing w:line="276" w:lineRule="auto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5 g of albumin/L 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ascitic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fluid removed, after paracentesis of volumes &gt; 5 L. 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2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Therapeutic plasmapheresis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For exchanges of &gt; 20 mL/kg in one session or &gt; 20 mL/kg/week in more than one session. 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3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Spontaneous bacterial peritonitis </w:t>
            </w: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In association with antibiotics. 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4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Heart surgery </w:t>
            </w:r>
          </w:p>
        </w:tc>
        <w:tc>
          <w:tcPr>
            <w:tcW w:w="58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43"/>
              <w:gridCol w:w="222"/>
            </w:tblGrid>
            <w:tr w:rsidR="00667ED3" w:rsidRPr="004E51CC" w:rsidTr="00F05AAC">
              <w:trPr>
                <w:trHeight w:val="105"/>
              </w:trPr>
              <w:tc>
                <w:tcPr>
                  <w:tcW w:w="0" w:type="auto"/>
                </w:tcPr>
                <w:p w:rsidR="00667ED3" w:rsidRPr="004E51CC" w:rsidRDefault="00667ED3" w:rsidP="00F05AAC">
                  <w:pPr>
                    <w:pStyle w:val="Default"/>
                    <w:spacing w:line="276" w:lineRule="auto"/>
                    <w:rPr>
                      <w:color w:val="221E1F"/>
                      <w:sz w:val="20"/>
                      <w:szCs w:val="20"/>
                    </w:rPr>
                  </w:pPr>
                  <w:r w:rsidRPr="004E51CC">
                    <w:rPr>
                      <w:rStyle w:val="A0"/>
                      <w:sz w:val="20"/>
                      <w:szCs w:val="20"/>
                    </w:rPr>
                    <w:t xml:space="preserve">Last-choice treatment after crystalloids </w:t>
                  </w:r>
                </w:p>
              </w:tc>
              <w:tc>
                <w:tcPr>
                  <w:tcW w:w="0" w:type="auto"/>
                </w:tcPr>
                <w:p w:rsidR="00667ED3" w:rsidRPr="004E51CC" w:rsidRDefault="00667ED3" w:rsidP="00F05AAC">
                  <w:pPr>
                    <w:pStyle w:val="Default"/>
                    <w:spacing w:line="276" w:lineRule="auto"/>
                    <w:rPr>
                      <w:color w:val="221E1F"/>
                      <w:sz w:val="20"/>
                      <w:szCs w:val="20"/>
                    </w:rPr>
                  </w:pPr>
                </w:p>
              </w:tc>
            </w:tr>
          </w:tbl>
          <w:p w:rsidR="00667ED3" w:rsidRPr="004E51CC" w:rsidRDefault="00667ED3" w:rsidP="00F05AA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5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Major surgery </w:t>
            </w: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Serum albumin &lt; 2 g/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dL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after 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normalisation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of circulatory volume. </w:t>
            </w:r>
          </w:p>
        </w:tc>
      </w:tr>
      <w:tr w:rsidR="00667ED3" w:rsidRPr="00EA7F43" w:rsidTr="00667ED3">
        <w:trPr>
          <w:trHeight w:val="503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6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Cirrhosis of the liver with refractory ascites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Serum albumin &lt; 2 g/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dL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. </w:t>
            </w:r>
          </w:p>
        </w:tc>
      </w:tr>
      <w:tr w:rsidR="00667ED3" w:rsidRPr="00EA7F43" w:rsidTr="00667ED3">
        <w:trPr>
          <w:trHeight w:val="255"/>
          <w:jc w:val="center"/>
        </w:trPr>
        <w:tc>
          <w:tcPr>
            <w:tcW w:w="416" w:type="dxa"/>
            <w:tcBorders>
              <w:top w:val="single" w:sz="4" w:space="0" w:color="auto"/>
            </w:tcBorders>
          </w:tcPr>
          <w:p w:rsidR="00667ED3" w:rsidRPr="004E51CC" w:rsidRDefault="00667ED3" w:rsidP="00F05AAC">
            <w:pPr>
              <w:spacing w:after="0" w:line="240" w:lineRule="auto"/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160" w:type="dxa"/>
            <w:gridSpan w:val="2"/>
            <w:tcBorders>
              <w:top w:val="single" w:sz="4" w:space="0" w:color="auto"/>
            </w:tcBorders>
          </w:tcPr>
          <w:p w:rsidR="00667ED3" w:rsidRPr="004E51CC" w:rsidRDefault="00667ED3" w:rsidP="00F05AAC">
            <w:pPr>
              <w:spacing w:after="0" w:line="240" w:lineRule="auto"/>
              <w:rPr>
                <w:rStyle w:val="A0"/>
                <w:rFonts w:eastAsia="Calibri"/>
                <w:sz w:val="20"/>
                <w:szCs w:val="20"/>
                <w:lang w:eastAsia="en-US"/>
              </w:rPr>
            </w:pPr>
            <w:r w:rsidRPr="004E51CC"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ALI/ARDS ARDS (acute respiratory distress syndrome)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spacing w:after="0" w:line="240" w:lineRule="auto"/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spacing w:after="0" w:line="240" w:lineRule="auto"/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E51CC">
              <w:rPr>
                <w:rStyle w:val="A0"/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Intracranial hemorrhage 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E5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Dialysis treatment in the presence of severe abnormalities of </w:t>
            </w:r>
            <w:proofErr w:type="spellStart"/>
            <w:r w:rsidRPr="004E51C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haemostasis</w:t>
            </w:r>
            <w:proofErr w:type="spellEnd"/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spacing w:line="276" w:lineRule="auto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Baseline albumin &lt; 2 – 2.5 g/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dL</w:t>
            </w:r>
            <w:proofErr w:type="spellEnd"/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9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Hemorrhagic shock 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Only in the case of lack of response to crystalloids or colloid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10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 w:rsidRPr="004E51CC">
              <w:rPr>
                <w:rStyle w:val="A0"/>
                <w:sz w:val="20"/>
                <w:szCs w:val="20"/>
              </w:rPr>
              <w:t>Hepatorenal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syndrome </w:t>
            </w: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In association with 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vasoconstricting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drugs</w:t>
            </w:r>
          </w:p>
        </w:tc>
      </w:tr>
      <w:tr w:rsidR="00667ED3" w:rsidRPr="00EA7F43" w:rsidTr="00667ED3">
        <w:trPr>
          <w:trHeight w:val="296"/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11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Nephrotic syndrome 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>Albumin &lt; 2 g/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dL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with 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hypovolaemia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and/or pulmonary edema. 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12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Organ transplantation 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In the post-operative period after liver transplantation to control ascites and peripheral edema, to replace the loss of 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ascitic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fluid from the drainage tubes, if albumin &lt; 2.5 g/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dL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 with a </w:t>
            </w:r>
            <w:proofErr w:type="spellStart"/>
            <w:r w:rsidRPr="004E51CC">
              <w:rPr>
                <w:rStyle w:val="A0"/>
                <w:sz w:val="20"/>
                <w:szCs w:val="20"/>
              </w:rPr>
              <w:t>hematocrit</w:t>
            </w:r>
            <w:proofErr w:type="spellEnd"/>
            <w:r w:rsidRPr="004E51CC">
              <w:rPr>
                <w:rStyle w:val="A0"/>
                <w:sz w:val="20"/>
                <w:szCs w:val="20"/>
              </w:rPr>
              <w:t xml:space="preserve">&gt; 30%. </w:t>
            </w:r>
          </w:p>
        </w:tc>
      </w:tr>
      <w:tr w:rsidR="00667ED3" w:rsidRPr="00EA7F43" w:rsidTr="00667ED3">
        <w:trPr>
          <w:jc w:val="center"/>
        </w:trPr>
        <w:tc>
          <w:tcPr>
            <w:tcW w:w="416" w:type="dxa"/>
          </w:tcPr>
          <w:p w:rsidR="00667ED3" w:rsidRPr="004E51CC" w:rsidRDefault="00667ED3" w:rsidP="00F05AAC">
            <w:pPr>
              <w:pStyle w:val="Default"/>
              <w:rPr>
                <w:rStyle w:val="A0"/>
                <w:sz w:val="20"/>
                <w:szCs w:val="20"/>
              </w:rPr>
            </w:pPr>
            <w:r>
              <w:rPr>
                <w:rStyle w:val="A0"/>
                <w:sz w:val="20"/>
                <w:szCs w:val="20"/>
              </w:rPr>
              <w:t>13</w:t>
            </w:r>
          </w:p>
        </w:tc>
        <w:tc>
          <w:tcPr>
            <w:tcW w:w="3292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Burns </w:t>
            </w:r>
          </w:p>
          <w:p w:rsidR="00667ED3" w:rsidRPr="004E51CC" w:rsidRDefault="00667ED3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68" w:type="dxa"/>
          </w:tcPr>
          <w:p w:rsidR="00667ED3" w:rsidRPr="004E51CC" w:rsidRDefault="00667ED3" w:rsidP="00F05AAC">
            <w:pPr>
              <w:pStyle w:val="Default"/>
              <w:rPr>
                <w:color w:val="221E1F"/>
                <w:sz w:val="20"/>
                <w:szCs w:val="20"/>
              </w:rPr>
            </w:pPr>
            <w:r w:rsidRPr="004E51CC">
              <w:rPr>
                <w:rStyle w:val="A0"/>
                <w:sz w:val="20"/>
                <w:szCs w:val="20"/>
              </w:rPr>
              <w:t xml:space="preserve">In the case of burns of &gt; 30% body surface area, after the first 24 hours. </w:t>
            </w:r>
          </w:p>
        </w:tc>
      </w:tr>
    </w:tbl>
    <w:p w:rsidR="006034A0" w:rsidRDefault="006034A0"/>
    <w:tbl>
      <w:tblPr>
        <w:tblW w:w="1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2"/>
        <w:gridCol w:w="662"/>
        <w:gridCol w:w="800"/>
      </w:tblGrid>
      <w:tr w:rsidR="006034A0" w:rsidRPr="002F6357" w:rsidTr="00EE3C74">
        <w:trPr>
          <w:gridAfter w:val="2"/>
          <w:wAfter w:w="1462" w:type="dxa"/>
          <w:trHeight w:val="480"/>
        </w:trPr>
        <w:tc>
          <w:tcPr>
            <w:tcW w:w="9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34A0" w:rsidRPr="006034A0" w:rsidRDefault="006034A0" w:rsidP="006034A0">
            <w:pPr>
              <w:spacing w:after="0" w:line="240" w:lineRule="auto"/>
              <w:ind w:left="567" w:right="-392" w:hanging="567"/>
              <w:jc w:val="center"/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eastAsia="en-US"/>
              </w:rPr>
              <w:t>Prophylactic pantoprazole Indication (Risk assessment)</w:t>
            </w:r>
          </w:p>
        </w:tc>
      </w:tr>
      <w:tr w:rsidR="006034A0" w:rsidRPr="002F6357" w:rsidTr="00F35344">
        <w:trPr>
          <w:gridAfter w:val="2"/>
          <w:wAfter w:w="1462" w:type="dxa"/>
        </w:trPr>
        <w:tc>
          <w:tcPr>
            <w:tcW w:w="9712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Major risk factors</w:t>
            </w:r>
          </w:p>
        </w:tc>
      </w:tr>
      <w:tr w:rsidR="006034A0" w:rsidRPr="002F6357" w:rsidTr="00EA3A88">
        <w:trPr>
          <w:gridAfter w:val="1"/>
          <w:wAfter w:w="800" w:type="dxa"/>
        </w:trPr>
        <w:tc>
          <w:tcPr>
            <w:tcW w:w="9712" w:type="dxa"/>
            <w:vMerge w:val="restart"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proofErr w:type="spellStart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Coagulopathy</w:t>
            </w:r>
            <w:proofErr w:type="spellEnd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Plt</w:t>
            </w:r>
            <w:proofErr w:type="spellEnd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&lt;50000,INR&gt;1.5)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proofErr w:type="spellStart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Hx</w:t>
            </w:r>
            <w:proofErr w:type="spellEnd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of GI ulceration or bleeding within 1year of admission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Glasgow coma scale of &lt;8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Thermal injury to &gt; 35% of body surface area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Partial </w:t>
            </w:r>
            <w:proofErr w:type="spellStart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hepatectomy</w:t>
            </w:r>
            <w:proofErr w:type="spellEnd"/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Multiple trauma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Hepatic or renal transplantation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Spinal cord injury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proofErr w:type="spellStart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Hypoperfusion</w:t>
            </w:r>
            <w:proofErr w:type="spellEnd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(sepsis, shock, multi organ failure or vasoactive therapy)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2F6357" w:rsidTr="00142DD5">
        <w:trPr>
          <w:gridAfter w:val="1"/>
          <w:wAfter w:w="800" w:type="dxa"/>
        </w:trPr>
        <w:tc>
          <w:tcPr>
            <w:tcW w:w="971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2F6357" w:rsidTr="00AC49F5">
        <w:trPr>
          <w:gridAfter w:val="1"/>
          <w:wAfter w:w="800" w:type="dxa"/>
        </w:trPr>
        <w:tc>
          <w:tcPr>
            <w:tcW w:w="971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2F6357" w:rsidTr="00FB1418">
        <w:trPr>
          <w:gridAfter w:val="1"/>
          <w:wAfter w:w="800" w:type="dxa"/>
        </w:trPr>
        <w:tc>
          <w:tcPr>
            <w:tcW w:w="971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2F6357" w:rsidTr="00AC49F5">
        <w:trPr>
          <w:gridAfter w:val="1"/>
          <w:wAfter w:w="800" w:type="dxa"/>
        </w:trPr>
        <w:tc>
          <w:tcPr>
            <w:tcW w:w="971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2F6357" w:rsidTr="00AC49F5">
        <w:tc>
          <w:tcPr>
            <w:tcW w:w="971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2F6357" w:rsidTr="00AC49F5">
        <w:trPr>
          <w:gridAfter w:val="1"/>
          <w:wAfter w:w="800" w:type="dxa"/>
          <w:trHeight w:val="150"/>
        </w:trPr>
        <w:tc>
          <w:tcPr>
            <w:tcW w:w="971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6034A0" w:rsidRPr="002F6357" w:rsidRDefault="006034A0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034A0" w:rsidRPr="00C976E8" w:rsidTr="006034A0">
        <w:trPr>
          <w:gridAfter w:val="1"/>
          <w:wAfter w:w="800" w:type="dxa"/>
          <w:trHeight w:val="244"/>
        </w:trPr>
        <w:tc>
          <w:tcPr>
            <w:tcW w:w="9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FFFFFF"/>
            </w:tcBorders>
          </w:tcPr>
          <w:p w:rsidR="006034A0" w:rsidRPr="00C976E8" w:rsidRDefault="006034A0" w:rsidP="00C976E8"/>
        </w:tc>
      </w:tr>
      <w:tr w:rsidR="006034A0" w:rsidRPr="00C976E8" w:rsidTr="0062099F">
        <w:trPr>
          <w:gridAfter w:val="1"/>
          <w:wAfter w:w="800" w:type="dxa"/>
          <w:trHeight w:val="150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6034A0" w:rsidRPr="006034A0" w:rsidRDefault="006034A0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Minor risk factors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C976E8" w:rsidRDefault="006034A0" w:rsidP="00C976E8"/>
        </w:tc>
      </w:tr>
      <w:tr w:rsidR="006034A0" w:rsidRPr="00C976E8" w:rsidTr="006034A0">
        <w:trPr>
          <w:gridAfter w:val="1"/>
          <w:wAfter w:w="800" w:type="dxa"/>
          <w:trHeight w:val="1367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6034A0" w:rsidRPr="006034A0" w:rsidRDefault="006034A0" w:rsidP="006034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Mild to moderate brain injury (GCS </w:t>
            </w:r>
            <w:r w:rsidRPr="006034A0">
              <w:rPr>
                <w:rFonts w:asciiTheme="minorHAnsi" w:eastAsia="Calibri" w:hAnsiTheme="minorHAnsi" w:cs="Times New Roman"/>
                <w:sz w:val="20"/>
                <w:szCs w:val="20"/>
                <w:u w:val="single"/>
                <w:lang w:eastAsia="en-US"/>
              </w:rPr>
              <w:t>&gt;</w:t>
            </w: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8)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Occult bleeding lasting </w:t>
            </w:r>
            <w:r w:rsidRPr="006034A0">
              <w:rPr>
                <w:rFonts w:asciiTheme="minorHAnsi" w:eastAsia="Calibri" w:hAnsiTheme="minorHAnsi" w:cs="Times New Roman"/>
                <w:sz w:val="20"/>
                <w:szCs w:val="20"/>
                <w:u w:val="single"/>
                <w:lang w:eastAsia="en-US"/>
              </w:rPr>
              <w:t>&gt;</w:t>
            </w: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6d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NSAID use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proofErr w:type="spellStart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Clopidogrel</w:t>
            </w:r>
            <w:proofErr w:type="spellEnd"/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use</w:t>
            </w:r>
          </w:p>
          <w:p w:rsidR="006034A0" w:rsidRPr="006034A0" w:rsidRDefault="006034A0" w:rsidP="006034A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High dose corticosteroid (&gt;250 mg of hydrocortisone or equivalent daily)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6034A0" w:rsidRPr="00C976E8" w:rsidRDefault="006034A0" w:rsidP="00C976E8"/>
        </w:tc>
      </w:tr>
      <w:tr w:rsidR="006034A0" w:rsidRPr="00C976E8" w:rsidTr="0060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62" w:type="dxa"/>
          <w:trHeight w:val="530"/>
        </w:trPr>
        <w:tc>
          <w:tcPr>
            <w:tcW w:w="9712" w:type="dxa"/>
            <w:tcBorders>
              <w:bottom w:val="single" w:sz="2" w:space="0" w:color="auto"/>
            </w:tcBorders>
          </w:tcPr>
          <w:p w:rsidR="006034A0" w:rsidRPr="006034A0" w:rsidRDefault="006034A0" w:rsidP="006034A0">
            <w:pPr>
              <w:spacing w:after="0" w:line="240" w:lineRule="auto"/>
              <w:jc w:val="both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*Only if </w:t>
            </w: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u w:val="single"/>
                <w:lang w:eastAsia="en-US"/>
              </w:rPr>
              <w:t>&gt;</w:t>
            </w: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1 major risk factors or </w:t>
            </w: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u w:val="single"/>
                <w:lang w:eastAsia="en-US"/>
              </w:rPr>
              <w:t>&gt;</w:t>
            </w: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2 risk factors are existed, pantoprazole prophylaxis is indicated.</w:t>
            </w:r>
          </w:p>
          <w:p w:rsidR="006034A0" w:rsidRPr="006034A0" w:rsidRDefault="006034A0" w:rsidP="006034A0">
            <w:pPr>
              <w:tabs>
                <w:tab w:val="left" w:pos="4850"/>
              </w:tabs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6034A0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**IV route is indicated only in absolute NPO condition</w:t>
            </w:r>
          </w:p>
        </w:tc>
      </w:tr>
    </w:tbl>
    <w:p w:rsidR="00667ED3" w:rsidRDefault="00667ED3"/>
    <w:p w:rsidR="00667ED3" w:rsidRDefault="00667ED3"/>
    <w:tbl>
      <w:tblPr>
        <w:tblStyle w:val="TableGrid"/>
        <w:tblW w:w="9648" w:type="dxa"/>
        <w:tblLayout w:type="fixed"/>
        <w:tblLook w:val="04A0"/>
      </w:tblPr>
      <w:tblGrid>
        <w:gridCol w:w="468"/>
        <w:gridCol w:w="9180"/>
      </w:tblGrid>
      <w:tr w:rsidR="00667ED3" w:rsidTr="00EE3C74">
        <w:tc>
          <w:tcPr>
            <w:tcW w:w="9648" w:type="dxa"/>
            <w:gridSpan w:val="2"/>
            <w:shd w:val="clear" w:color="auto" w:fill="D9D9D9" w:themeFill="background1" w:themeFillShade="D9"/>
          </w:tcPr>
          <w:p w:rsidR="00667ED3" w:rsidRPr="00C119E0" w:rsidRDefault="00667ED3" w:rsidP="00667ED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119E0">
              <w:rPr>
                <w:rFonts w:asciiTheme="minorBidi" w:hAnsiTheme="minorBidi"/>
                <w:b/>
                <w:bCs/>
                <w:sz w:val="24"/>
                <w:szCs w:val="24"/>
              </w:rPr>
              <w:t>Ceftriaxone indication checklist</w:t>
            </w:r>
          </w:p>
          <w:p w:rsidR="00667ED3" w:rsidRPr="00304FC0" w:rsidRDefault="00667ED3" w:rsidP="00F05AAC">
            <w:pPr>
              <w:tabs>
                <w:tab w:val="left" w:pos="5486"/>
              </w:tabs>
            </w:pPr>
          </w:p>
        </w:tc>
      </w:tr>
      <w:tr w:rsidR="00667ED3" w:rsidTr="00EB30DD">
        <w:tc>
          <w:tcPr>
            <w:tcW w:w="468" w:type="dxa"/>
          </w:tcPr>
          <w:p w:rsidR="00667ED3" w:rsidRPr="00667ED3" w:rsidRDefault="00667ED3"/>
        </w:tc>
        <w:tc>
          <w:tcPr>
            <w:tcW w:w="9180" w:type="dxa"/>
          </w:tcPr>
          <w:p w:rsidR="00667ED3" w:rsidRPr="00667ED3" w:rsidRDefault="00667ED3" w:rsidP="00F05AAC">
            <w:pPr>
              <w:tabs>
                <w:tab w:val="left" w:pos="5486"/>
              </w:tabs>
              <w:rPr>
                <w:b/>
                <w:bCs/>
                <w:sz w:val="20"/>
                <w:szCs w:val="20"/>
                <w:rtl/>
              </w:rPr>
            </w:pPr>
            <w:r w:rsidRPr="00667ED3">
              <w:rPr>
                <w:b/>
                <w:bCs/>
                <w:sz w:val="20"/>
                <w:szCs w:val="20"/>
              </w:rPr>
              <w:t>Indication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  <w:rtl/>
              </w:rPr>
            </w:pPr>
            <w:r w:rsidRPr="00667ED3">
              <w:rPr>
                <w:b/>
                <w:bCs/>
                <w:sz w:val="20"/>
                <w:szCs w:val="20"/>
              </w:rPr>
              <w:t>Upper respiratory tract infections</w:t>
            </w:r>
            <w:r w:rsidRPr="00667ED3">
              <w:rPr>
                <w:sz w:val="20"/>
                <w:szCs w:val="20"/>
              </w:rPr>
              <w:t xml:space="preserve"> (e.g., acute bacterial otitis media, acute bacterial rhinosinusitis)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>Bacteremia associated with intravascular line</w:t>
            </w:r>
            <w:r w:rsidRPr="00667ED3">
              <w:rPr>
                <w:sz w:val="20"/>
                <w:szCs w:val="20"/>
              </w:rPr>
              <w:t xml:space="preserve"> due to extended-spectrum beta-lactamase negative </w:t>
            </w:r>
            <w:r w:rsidRPr="00667ED3">
              <w:rPr>
                <w:i/>
                <w:iCs/>
                <w:sz w:val="20"/>
                <w:szCs w:val="20"/>
              </w:rPr>
              <w:t>Escherichia coli</w:t>
            </w:r>
            <w:r w:rsidRPr="00667ED3">
              <w:rPr>
                <w:sz w:val="20"/>
                <w:szCs w:val="20"/>
              </w:rPr>
              <w:t xml:space="preserve"> and </w:t>
            </w:r>
            <w:proofErr w:type="spellStart"/>
            <w:r w:rsidRPr="00667ED3">
              <w:rPr>
                <w:i/>
                <w:iCs/>
                <w:sz w:val="20"/>
                <w:szCs w:val="20"/>
              </w:rPr>
              <w:t>Klebsiella</w:t>
            </w:r>
            <w:proofErr w:type="spellEnd"/>
            <w:r w:rsidRPr="00667ED3">
              <w:rPr>
                <w:sz w:val="20"/>
                <w:szCs w:val="20"/>
              </w:rPr>
              <w:t xml:space="preserve"> species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3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>Prophylaxis of bacterial endocarditis</w:t>
            </w:r>
            <w:r w:rsidRPr="00667ED3">
              <w:rPr>
                <w:sz w:val="20"/>
                <w:szCs w:val="20"/>
              </w:rPr>
              <w:t xml:space="preserve"> in high risk</w:t>
            </w:r>
            <w:r w:rsidRPr="00667ED3">
              <w:rPr>
                <w:sz w:val="20"/>
                <w:szCs w:val="20"/>
                <w:rtl/>
              </w:rPr>
              <w:t xml:space="preserve"> </w:t>
            </w:r>
            <w:r w:rsidRPr="00667ED3">
              <w:rPr>
                <w:sz w:val="20"/>
                <w:szCs w:val="20"/>
              </w:rPr>
              <w:t>adults and children who are allergic to</w:t>
            </w:r>
            <w:r w:rsidRPr="00667ED3">
              <w:rPr>
                <w:sz w:val="20"/>
                <w:szCs w:val="20"/>
                <w:rtl/>
              </w:rPr>
              <w:t xml:space="preserve"> </w:t>
            </w:r>
            <w:proofErr w:type="spellStart"/>
            <w:r w:rsidRPr="00667ED3">
              <w:rPr>
                <w:sz w:val="20"/>
                <w:szCs w:val="20"/>
              </w:rPr>
              <w:t>penicillins</w:t>
            </w:r>
            <w:proofErr w:type="spellEnd"/>
            <w:r w:rsidRPr="00667ED3">
              <w:rPr>
                <w:sz w:val="20"/>
                <w:szCs w:val="20"/>
              </w:rPr>
              <w:t xml:space="preserve"> or </w:t>
            </w:r>
            <w:proofErr w:type="spellStart"/>
            <w:r w:rsidRPr="00667ED3">
              <w:rPr>
                <w:sz w:val="20"/>
                <w:szCs w:val="20"/>
              </w:rPr>
              <w:t>ampicillin</w:t>
            </w:r>
            <w:proofErr w:type="spellEnd"/>
            <w:r w:rsidRPr="00667ED3">
              <w:rPr>
                <w:sz w:val="20"/>
                <w:szCs w:val="20"/>
              </w:rPr>
              <w:t xml:space="preserve"> and are unable to take</w:t>
            </w:r>
            <w:r w:rsidRPr="00667ED3">
              <w:rPr>
                <w:sz w:val="20"/>
                <w:szCs w:val="20"/>
                <w:rtl/>
              </w:rPr>
              <w:t xml:space="preserve"> </w:t>
            </w:r>
            <w:r w:rsidRPr="00667ED3">
              <w:rPr>
                <w:sz w:val="20"/>
                <w:szCs w:val="20"/>
              </w:rPr>
              <w:t>oral medication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4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 xml:space="preserve">Treatment of bacterial </w:t>
            </w:r>
            <w:r w:rsidRPr="00667ED3">
              <w:rPr>
                <w:rFonts w:cs="Courier New"/>
                <w:color w:val="000000"/>
                <w:sz w:val="20"/>
                <w:szCs w:val="20"/>
                <w:lang w:val="en-GB"/>
              </w:rPr>
              <w:t xml:space="preserve">native or prosthetic valve </w:t>
            </w:r>
            <w:r w:rsidRPr="00667ED3">
              <w:rPr>
                <w:b/>
                <w:bCs/>
                <w:sz w:val="20"/>
                <w:szCs w:val="20"/>
              </w:rPr>
              <w:t xml:space="preserve">endocarditis </w:t>
            </w:r>
            <w:r w:rsidRPr="00667ED3">
              <w:rPr>
                <w:sz w:val="20"/>
                <w:szCs w:val="20"/>
              </w:rPr>
              <w:t>due to penicillin-susceptible streptococci in combination with</w:t>
            </w:r>
            <w:r w:rsidRPr="00667ED3">
              <w:rPr>
                <w:sz w:val="20"/>
                <w:szCs w:val="20"/>
                <w:rtl/>
              </w:rPr>
              <w:t xml:space="preserve"> </w:t>
            </w:r>
            <w:r w:rsidRPr="00667ED3">
              <w:rPr>
                <w:sz w:val="20"/>
                <w:szCs w:val="20"/>
              </w:rPr>
              <w:t>gentamicin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5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>Brain abscess</w:t>
            </w:r>
            <w:r w:rsidRPr="00667ED3">
              <w:rPr>
                <w:sz w:val="20"/>
                <w:szCs w:val="20"/>
              </w:rPr>
              <w:t xml:space="preserve"> in combination with penicillin G and metronidazole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6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>Cavernous sinus thrombosis</w:t>
            </w:r>
            <w:r w:rsidRPr="00667ED3">
              <w:rPr>
                <w:sz w:val="20"/>
                <w:szCs w:val="20"/>
              </w:rPr>
              <w:t xml:space="preserve"> in combination with vancomycin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7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proofErr w:type="spellStart"/>
            <w:r w:rsidRPr="00667ED3">
              <w:rPr>
                <w:sz w:val="20"/>
                <w:szCs w:val="20"/>
              </w:rPr>
              <w:t>Chancroid</w:t>
            </w:r>
            <w:proofErr w:type="spellEnd"/>
            <w:r w:rsidRPr="00667ED3">
              <w:rPr>
                <w:sz w:val="20"/>
                <w:szCs w:val="20"/>
              </w:rPr>
              <w:t xml:space="preserve"> 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8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  <w:rtl/>
              </w:rPr>
            </w:pPr>
            <w:r w:rsidRPr="00667ED3">
              <w:rPr>
                <w:sz w:val="20"/>
                <w:szCs w:val="20"/>
              </w:rPr>
              <w:t>Uncomplicated or complicated</w:t>
            </w:r>
            <w:r w:rsidRPr="00667ED3">
              <w:rPr>
                <w:b/>
                <w:bCs/>
                <w:sz w:val="20"/>
                <w:szCs w:val="20"/>
              </w:rPr>
              <w:t xml:space="preserve"> Gonococcal </w:t>
            </w:r>
            <w:r w:rsidRPr="00667ED3">
              <w:rPr>
                <w:sz w:val="20"/>
                <w:szCs w:val="20"/>
              </w:rPr>
              <w:t>infections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9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 xml:space="preserve">Sexually transmitted acute </w:t>
            </w:r>
            <w:proofErr w:type="spellStart"/>
            <w:r w:rsidRPr="00667ED3">
              <w:rPr>
                <w:b/>
                <w:bCs/>
                <w:sz w:val="20"/>
                <w:szCs w:val="20"/>
              </w:rPr>
              <w:t>proctitis</w:t>
            </w:r>
            <w:proofErr w:type="spellEnd"/>
            <w:r w:rsidRPr="00667ED3">
              <w:rPr>
                <w:sz w:val="20"/>
                <w:szCs w:val="20"/>
              </w:rPr>
              <w:t xml:space="preserve"> or </w:t>
            </w:r>
            <w:proofErr w:type="spellStart"/>
            <w:r w:rsidRPr="00667ED3">
              <w:rPr>
                <w:b/>
                <w:bCs/>
                <w:sz w:val="20"/>
                <w:szCs w:val="20"/>
              </w:rPr>
              <w:t>protocolitis</w:t>
            </w:r>
            <w:proofErr w:type="spellEnd"/>
            <w:r w:rsidRPr="00667ED3">
              <w:rPr>
                <w:sz w:val="20"/>
                <w:szCs w:val="20"/>
              </w:rPr>
              <w:t xml:space="preserve"> in combination with doxycycline or azithromycin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10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b/>
                <w:bCs/>
                <w:sz w:val="20"/>
                <w:szCs w:val="20"/>
              </w:rPr>
            </w:pP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Prophylaxis of sexually transmitted infectious disease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in victim of sexual assault in combination with metronidazole, and either oral azithromycin</w:t>
            </w:r>
            <w:r w:rsidRPr="00667ED3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667ED3">
              <w:rPr>
                <w:rFonts w:eastAsia="Times New Roman"/>
                <w:sz w:val="20"/>
                <w:szCs w:val="20"/>
              </w:rPr>
              <w:t>or oral doxycycline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11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  <w:rtl/>
              </w:rPr>
            </w:pP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Intra-abdominal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infections (e.g., a</w:t>
            </w:r>
            <w:r w:rsidRPr="00667ED3">
              <w:rPr>
                <w:sz w:val="20"/>
                <w:szCs w:val="20"/>
              </w:rPr>
              <w:t xml:space="preserve">cute cholecystitis) </w:t>
            </w:r>
            <w:r w:rsidRPr="00667ED3">
              <w:rPr>
                <w:color w:val="000000"/>
                <w:sz w:val="20"/>
                <w:szCs w:val="20"/>
                <w:lang w:val="en-GB"/>
              </w:rPr>
              <w:t>due to susceptible pathogens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in combination with metronidazole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12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Spontaneous bacterial peritonitis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</w:t>
            </w:r>
            <w:r w:rsidRPr="00667ED3">
              <w:rPr>
                <w:color w:val="000000"/>
                <w:sz w:val="20"/>
                <w:szCs w:val="20"/>
                <w:lang w:val="en-GB"/>
              </w:rPr>
              <w:t>due to susceptible pathogens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13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sz w:val="20"/>
                <w:szCs w:val="20"/>
              </w:rPr>
              <w:t>Mastoiditis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14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 xml:space="preserve">Treatment of </w:t>
            </w: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meningitis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in combination with vancomycin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15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b/>
                <w:bCs/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 xml:space="preserve">Prophylaxis of meningitis </w:t>
            </w:r>
            <w:r w:rsidRPr="00667ED3">
              <w:rPr>
                <w:sz w:val="20"/>
                <w:szCs w:val="20"/>
              </w:rPr>
              <w:t>in close exposure to invasive meningococcal disease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16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67ED3">
              <w:rPr>
                <w:b/>
                <w:bCs/>
                <w:sz w:val="20"/>
                <w:szCs w:val="20"/>
              </w:rPr>
              <w:t>Neurobrucellosis</w:t>
            </w:r>
            <w:proofErr w:type="spellEnd"/>
            <w:r w:rsidRPr="00667ED3">
              <w:rPr>
                <w:b/>
                <w:bCs/>
                <w:sz w:val="20"/>
                <w:szCs w:val="20"/>
              </w:rPr>
              <w:t xml:space="preserve"> </w:t>
            </w:r>
            <w:r w:rsidRPr="00667ED3">
              <w:rPr>
                <w:rFonts w:eastAsia="Times New Roman"/>
                <w:sz w:val="20"/>
                <w:szCs w:val="20"/>
              </w:rPr>
              <w:t>in combination with other agents (e.g., doxycycline and rifampin)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17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sz w:val="20"/>
                <w:szCs w:val="20"/>
              </w:rPr>
            </w:pPr>
            <w:r w:rsidRPr="00667ED3">
              <w:rPr>
                <w:b/>
                <w:bCs/>
                <w:sz w:val="20"/>
                <w:szCs w:val="20"/>
              </w:rPr>
              <w:t>Acute epididymitis</w:t>
            </w:r>
            <w:r w:rsidRPr="00667ED3">
              <w:rPr>
                <w:sz w:val="20"/>
                <w:szCs w:val="20"/>
              </w:rPr>
              <w:t xml:space="preserve"> due to gonococcal or chlamydial infection in combination with doxycycline</w:t>
            </w:r>
            <w:r w:rsidRPr="00667ED3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18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 xml:space="preserve">Orbital </w:t>
            </w:r>
            <w:proofErr w:type="spellStart"/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cellulitis</w:t>
            </w:r>
            <w:proofErr w:type="spellEnd"/>
            <w:r w:rsidRPr="00667ED3">
              <w:rPr>
                <w:rFonts w:eastAsia="Times New Roman"/>
                <w:sz w:val="20"/>
                <w:szCs w:val="20"/>
              </w:rPr>
              <w:t xml:space="preserve"> or </w:t>
            </w:r>
            <w:proofErr w:type="spellStart"/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endophthalmitis</w:t>
            </w:r>
            <w:proofErr w:type="spellEnd"/>
            <w:r w:rsidRPr="00667ED3">
              <w:rPr>
                <w:color w:val="000000"/>
                <w:sz w:val="20"/>
                <w:szCs w:val="20"/>
                <w:lang w:val="en-GB"/>
              </w:rPr>
              <w:t xml:space="preserve"> due to susceptible pathogens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19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Pelvic inflammatory disease</w:t>
            </w:r>
            <w:r w:rsidRPr="00667ED3">
              <w:rPr>
                <w:sz w:val="20"/>
                <w:szCs w:val="20"/>
              </w:rPr>
              <w:t xml:space="preserve"> </w:t>
            </w:r>
            <w:r w:rsidRPr="00667ED3">
              <w:rPr>
                <w:rFonts w:eastAsia="Times New Roman"/>
                <w:sz w:val="20"/>
                <w:szCs w:val="20"/>
              </w:rPr>
              <w:t xml:space="preserve">in combination with other antimicrobial agents (e.g., </w:t>
            </w:r>
            <w:r w:rsidRPr="00667ED3">
              <w:rPr>
                <w:sz w:val="20"/>
                <w:szCs w:val="20"/>
              </w:rPr>
              <w:t>doxycycline and metronidazole)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20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sz w:val="20"/>
                <w:szCs w:val="20"/>
              </w:rPr>
              <w:t xml:space="preserve"> </w:t>
            </w: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Community-acquired pneumonia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in combination with macrolides (e.g., azithromycin)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21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sz w:val="20"/>
                <w:szCs w:val="20"/>
              </w:rPr>
              <w:t xml:space="preserve">Complicated or uncomplicated </w:t>
            </w: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urinary tract infections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(e.g., Pyelonephritis)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22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color w:val="000000"/>
                <w:sz w:val="20"/>
                <w:szCs w:val="20"/>
                <w:lang w:val="en-GB"/>
              </w:rPr>
            </w:pPr>
            <w:r w:rsidRPr="00667ED3">
              <w:rPr>
                <w:b/>
                <w:bCs/>
                <w:color w:val="000000"/>
                <w:sz w:val="20"/>
                <w:szCs w:val="20"/>
                <w:lang w:val="en-GB"/>
              </w:rPr>
              <w:t>Skin and skin structure infections</w:t>
            </w:r>
            <w:r w:rsidRPr="00667ED3">
              <w:rPr>
                <w:color w:val="000000"/>
                <w:sz w:val="20"/>
                <w:szCs w:val="20"/>
                <w:lang w:val="en-GB"/>
              </w:rPr>
              <w:t xml:space="preserve"> (cellulitis, soft tissue abscesses, and diabetic foot ulcers) due to susceptible pathogens</w:t>
            </w:r>
            <w:r w:rsidRPr="00667ED3">
              <w:rPr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23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667ED3">
              <w:rPr>
                <w:b/>
                <w:bCs/>
                <w:color w:val="000000"/>
                <w:sz w:val="20"/>
                <w:szCs w:val="20"/>
                <w:lang w:val="en-GB"/>
              </w:rPr>
              <w:t>Shigella</w:t>
            </w:r>
            <w:proofErr w:type="spellEnd"/>
            <w:r w:rsidRPr="00667ED3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67ED3">
              <w:rPr>
                <w:color w:val="000000"/>
                <w:sz w:val="20"/>
                <w:szCs w:val="20"/>
                <w:lang w:val="en-GB"/>
              </w:rPr>
              <w:t>or</w:t>
            </w:r>
            <w:r w:rsidRPr="00667ED3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Salmonella </w:t>
            </w:r>
            <w:r w:rsidRPr="00667ED3">
              <w:rPr>
                <w:color w:val="000000"/>
                <w:sz w:val="20"/>
                <w:szCs w:val="20"/>
                <w:lang w:val="en-GB"/>
              </w:rPr>
              <w:t>infections</w:t>
            </w:r>
            <w:r w:rsidRPr="00667ED3">
              <w:rPr>
                <w:b/>
                <w:bCs/>
                <w:color w:val="000000"/>
                <w:sz w:val="20"/>
                <w:szCs w:val="20"/>
                <w:rtl/>
                <w:lang w:val="en-GB"/>
              </w:rPr>
              <w:t xml:space="preserve"> 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24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Prophylaxis of postoperative infection</w:t>
            </w:r>
            <w:r w:rsidRPr="00667ED3">
              <w:rPr>
                <w:rFonts w:eastAsia="Times New Roman"/>
                <w:sz w:val="20"/>
                <w:szCs w:val="20"/>
              </w:rPr>
              <w:t xml:space="preserve"> in contaminated or potentially contaminated surgery</w:t>
            </w:r>
            <w:r w:rsidRPr="00667ED3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667ED3">
              <w:rPr>
                <w:rFonts w:eastAsia="Times New Roman"/>
                <w:sz w:val="20"/>
                <w:szCs w:val="20"/>
              </w:rPr>
              <w:t>(e.g., hysterectomy, biliary tract, colorectal [in combination with metronidazole])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25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667ED3">
              <w:rPr>
                <w:rFonts w:eastAsia="Times New Roman"/>
                <w:b/>
                <w:bCs/>
                <w:sz w:val="20"/>
                <w:szCs w:val="20"/>
              </w:rPr>
              <w:t>Neurosyphilis</w:t>
            </w:r>
            <w:proofErr w:type="spellEnd"/>
            <w:r w:rsidRPr="00667ED3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667ED3">
              <w:rPr>
                <w:rFonts w:eastAsia="Times New Roman"/>
                <w:sz w:val="20"/>
                <w:szCs w:val="20"/>
              </w:rPr>
              <w:t>in penicillin-allergic patients</w:t>
            </w:r>
          </w:p>
        </w:tc>
      </w:tr>
      <w:tr w:rsidR="00667ED3" w:rsidTr="00EB30DD">
        <w:tc>
          <w:tcPr>
            <w:tcW w:w="468" w:type="dxa"/>
          </w:tcPr>
          <w:p w:rsidR="00667ED3" w:rsidRPr="00667ED3" w:rsidRDefault="00012BF3">
            <w:r>
              <w:t>26</w:t>
            </w:r>
          </w:p>
        </w:tc>
        <w:tc>
          <w:tcPr>
            <w:tcW w:w="9180" w:type="dxa"/>
          </w:tcPr>
          <w:p w:rsidR="00667ED3" w:rsidRPr="00667ED3" w:rsidRDefault="00667ED3" w:rsidP="00F05AAC">
            <w:pPr>
              <w:rPr>
                <w:rFonts w:eastAsia="Times New Roman"/>
                <w:sz w:val="20"/>
                <w:szCs w:val="20"/>
              </w:rPr>
            </w:pPr>
            <w:r w:rsidRPr="00667ED3">
              <w:rPr>
                <w:rFonts w:eastAsia="Times New Roman"/>
                <w:sz w:val="20"/>
                <w:szCs w:val="20"/>
              </w:rPr>
              <w:t>Typhoid fever</w:t>
            </w:r>
          </w:p>
        </w:tc>
      </w:tr>
    </w:tbl>
    <w:p w:rsidR="00667ED3" w:rsidRDefault="00667ED3" w:rsidP="00667ED3">
      <w:pPr>
        <w:tabs>
          <w:tab w:val="left" w:pos="3226"/>
        </w:tabs>
      </w:pPr>
      <w:r>
        <w:tab/>
      </w:r>
    </w:p>
    <w:p w:rsidR="00667ED3" w:rsidRDefault="00667ED3"/>
    <w:p w:rsidR="00667ED3" w:rsidRDefault="00667ED3"/>
    <w:p w:rsidR="00667ED3" w:rsidRDefault="00667ED3"/>
    <w:p w:rsidR="00667ED3" w:rsidRDefault="00667ED3"/>
    <w:p w:rsidR="00667ED3" w:rsidRDefault="00667ED3">
      <w:bookmarkStart w:id="0" w:name="_GoBack"/>
      <w:bookmarkEnd w:id="0"/>
    </w:p>
    <w:tbl>
      <w:tblPr>
        <w:tblW w:w="1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18"/>
        <w:gridCol w:w="1595"/>
        <w:gridCol w:w="662"/>
        <w:gridCol w:w="799"/>
      </w:tblGrid>
      <w:tr w:rsidR="00EB30DD" w:rsidRPr="0064276D" w:rsidTr="00EE3C74">
        <w:trPr>
          <w:gridAfter w:val="2"/>
          <w:wAfter w:w="1461" w:type="dxa"/>
        </w:trPr>
        <w:tc>
          <w:tcPr>
            <w:tcW w:w="97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30DD" w:rsidRPr="008D7C6E" w:rsidRDefault="008D7C6E" w:rsidP="00D214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D7C6E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eastAsia="en-US"/>
              </w:rPr>
              <w:t xml:space="preserve">Prophylactic </w:t>
            </w:r>
            <w:proofErr w:type="spellStart"/>
            <w:r w:rsidR="00EB30DD" w:rsidRPr="008D7C6E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eastAsia="en-US"/>
              </w:rPr>
              <w:t>Enoxaparin</w:t>
            </w:r>
            <w:proofErr w:type="spellEnd"/>
            <w:r w:rsidR="00EB30DD" w:rsidRPr="008D7C6E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214D1"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lang w:eastAsia="en-US"/>
              </w:rPr>
              <w:t xml:space="preserve">&amp; Heparin </w:t>
            </w:r>
            <w:r w:rsidR="00EB30DD" w:rsidRPr="008D7C6E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indication checklist</w:t>
            </w:r>
          </w:p>
          <w:p w:rsidR="00EB30DD" w:rsidRPr="00EB30DD" w:rsidRDefault="00EB30DD" w:rsidP="00F05AAC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B30DD" w:rsidRPr="0064276D" w:rsidTr="00EB30DD">
        <w:trPr>
          <w:gridAfter w:val="2"/>
          <w:wAfter w:w="1461" w:type="dxa"/>
        </w:trPr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:rsidR="00EB30DD" w:rsidRPr="00EB30DD" w:rsidRDefault="00EB30DD" w:rsidP="00F05AAC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Prophylactic Indication (risk assessment) 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F05AAC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Score</w:t>
            </w:r>
          </w:p>
        </w:tc>
      </w:tr>
      <w:tr w:rsidR="00EB30DD" w:rsidRPr="0064276D" w:rsidTr="005E0DDF">
        <w:trPr>
          <w:gridAfter w:val="1"/>
          <w:wAfter w:w="799" w:type="dxa"/>
        </w:trPr>
        <w:tc>
          <w:tcPr>
            <w:tcW w:w="9713" w:type="dxa"/>
            <w:gridSpan w:val="2"/>
            <w:tcBorders>
              <w:left w:val="single" w:sz="4" w:space="0" w:color="auto"/>
              <w:right w:val="single" w:sz="4" w:space="0" w:color="FFFFFF"/>
            </w:tcBorders>
          </w:tcPr>
          <w:p w:rsidR="00EB30DD" w:rsidRPr="00EB30DD" w:rsidRDefault="00EB30DD" w:rsidP="00EB30DD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Medical patients*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</w:trPr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Malignancy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</w:trPr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History of DVT/PE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</w:trPr>
        <w:tc>
          <w:tcPr>
            <w:tcW w:w="8118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Restriction of motion</w:t>
            </w:r>
          </w:p>
        </w:tc>
        <w:tc>
          <w:tcPr>
            <w:tcW w:w="1595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</w:trPr>
        <w:tc>
          <w:tcPr>
            <w:tcW w:w="8118" w:type="dxa"/>
            <w:tcBorders>
              <w:left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Thrombophilia (e.g. Antiphospholipid Syndrome or Factor V Leiden)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</w:trPr>
        <w:tc>
          <w:tcPr>
            <w:tcW w:w="8118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Trauma or surgery in 1 month ago</w:t>
            </w:r>
          </w:p>
        </w:tc>
        <w:tc>
          <w:tcPr>
            <w:tcW w:w="1595" w:type="dxa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c>
          <w:tcPr>
            <w:tcW w:w="8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Age </w:t>
            </w:r>
            <w:r w:rsidRPr="00EB30DD">
              <w:rPr>
                <w:rFonts w:asciiTheme="minorHAnsi" w:eastAsia="Calibri" w:hAnsiTheme="minorHAnsi" w:cs="Times New Roman"/>
                <w:sz w:val="20"/>
                <w:szCs w:val="20"/>
                <w:u w:val="single"/>
                <w:lang w:eastAsia="en-US"/>
              </w:rPr>
              <w:t>&gt;</w:t>
            </w: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40 y/o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D214D1" w:rsidP="00EB30DD">
            <w:pPr>
              <w:spacing w:after="0" w:line="240" w:lineRule="auto"/>
              <w:jc w:val="center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="00EB30DD"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  <w:trHeight w:val="16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Acute MI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  <w:trHeight w:val="150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Ischemic stroke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  <w:trHeight w:val="143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Acute infection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  <w:trHeight w:val="150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Rheumatologic diseases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  <w:trHeight w:val="158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Obesity ( BMI </w:t>
            </w:r>
            <w:r w:rsidRPr="00EB30DD">
              <w:rPr>
                <w:rFonts w:asciiTheme="minorHAnsi" w:eastAsia="Calibri" w:hAnsiTheme="minorHAnsi" w:cs="Times New Roman"/>
                <w:sz w:val="20"/>
                <w:szCs w:val="20"/>
                <w:u w:val="single"/>
                <w:lang w:eastAsia="en-US"/>
              </w:rPr>
              <w:t>&gt;</w:t>
            </w: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30)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EB30DD" w:rsidRPr="0064276D" w:rsidRDefault="00EB30DD" w:rsidP="00F05A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EB30DD">
        <w:trPr>
          <w:gridAfter w:val="1"/>
          <w:wAfter w:w="799" w:type="dxa"/>
          <w:trHeight w:val="34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DD" w:rsidRPr="00EB30DD" w:rsidRDefault="00EB30DD" w:rsidP="00EB30DD">
            <w:pPr>
              <w:pStyle w:val="ListParagraph"/>
              <w:numPr>
                <w:ilvl w:val="0"/>
                <w:numId w:val="3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Hormone replacement therapy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pStyle w:val="ListParagraph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</w:tcPr>
          <w:p w:rsidR="00EB30DD" w:rsidRPr="0064276D" w:rsidRDefault="00EB30DD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F05AAC">
        <w:trPr>
          <w:gridAfter w:val="1"/>
          <w:wAfter w:w="799" w:type="dxa"/>
          <w:trHeight w:val="285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EB30DD" w:rsidRPr="00EB30DD" w:rsidRDefault="00EB30DD" w:rsidP="00F05AAC">
            <w:p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Surgical patients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EB30DD" w:rsidRPr="0064276D" w:rsidRDefault="00EB30DD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C6E" w:rsidRPr="0064276D" w:rsidTr="008D7C6E">
        <w:trPr>
          <w:gridAfter w:val="1"/>
          <w:wAfter w:w="799" w:type="dxa"/>
          <w:trHeight w:val="1295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8D7C6E" w:rsidRPr="008D7C6E" w:rsidRDefault="008D7C6E" w:rsidP="008D7C6E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Low risk</w:t>
            </w:r>
            <w:r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Not recommended</w:t>
            </w:r>
            <w:r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  <w:p w:rsidR="008D7C6E" w:rsidRPr="008D7C6E" w:rsidRDefault="008D7C6E" w:rsidP="008D7C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Minor elective abdominal or thoracic surgery (&lt;30 min); no risk factor other than age</w:t>
            </w:r>
          </w:p>
          <w:p w:rsidR="008D7C6E" w:rsidRPr="008D7C6E" w:rsidRDefault="008D7C6E" w:rsidP="008D7C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Major vascular and laparoscopic surgery , knee </w:t>
            </w:r>
            <w:proofErr w:type="spellStart"/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arthroplasty</w:t>
            </w:r>
            <w:proofErr w:type="spellEnd"/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, elective </w:t>
            </w:r>
            <w:proofErr w:type="spellStart"/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spinesurgery</w:t>
            </w:r>
            <w:proofErr w:type="spellEnd"/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, shoulder surgery, isolated lower </w:t>
            </w:r>
            <w:proofErr w:type="spellStart"/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exterimity</w:t>
            </w:r>
            <w:proofErr w:type="spellEnd"/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fracture (&gt;30 min); age &lt; 40 years; no other risk factors</w:t>
            </w:r>
          </w:p>
          <w:p w:rsidR="008D7C6E" w:rsidRPr="008D7C6E" w:rsidRDefault="008D7C6E" w:rsidP="008D7C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Minor trauma 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8D7C6E" w:rsidRPr="0064276D" w:rsidRDefault="008D7C6E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C6E" w:rsidRPr="0064276D" w:rsidTr="008D7C6E">
        <w:trPr>
          <w:gridAfter w:val="1"/>
          <w:wAfter w:w="799" w:type="dxa"/>
          <w:trHeight w:val="1889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8D7C6E" w:rsidRPr="00EB30DD" w:rsidRDefault="008D7C6E" w:rsidP="00F05AAC">
            <w:pPr>
              <w:spacing w:before="120" w:after="0" w:line="360" w:lineRule="auto"/>
              <w:rPr>
                <w:rFonts w:asciiTheme="minorHAnsi" w:eastAsia="MS Mincho" w:hAnsiTheme="minorHAnsi" w:cs="Times New Roman"/>
                <w:sz w:val="20"/>
                <w:szCs w:val="20"/>
                <w:lang w:eastAsia="en-US" w:bidi="fa-IR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Moderate risk</w:t>
            </w:r>
          </w:p>
          <w:p w:rsidR="008D7C6E" w:rsidRDefault="008D7C6E" w:rsidP="008D7C6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Major general, urological, gynecological</w:t>
            </w:r>
            <w:r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, cardiothoracic, vascular, or </w:t>
            </w:r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neurological surgery; age ≥ 40 years or other risk factor</w:t>
            </w:r>
          </w:p>
          <w:p w:rsidR="008D7C6E" w:rsidRPr="008D7C6E" w:rsidRDefault="008D7C6E" w:rsidP="008D7C6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Major trauma </w:t>
            </w:r>
          </w:p>
          <w:p w:rsidR="008D7C6E" w:rsidRPr="008D7C6E" w:rsidRDefault="008D7C6E" w:rsidP="008D7C6E">
            <w:pPr>
              <w:pStyle w:val="ListParagraph"/>
              <w:numPr>
                <w:ilvl w:val="0"/>
                <w:numId w:val="5"/>
              </w:numPr>
              <w:tabs>
                <w:tab w:val="left" w:pos="2220"/>
              </w:tabs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Minor surgery or trauma in patients with previous deep vein thrombosis, pulmonary embolism, or Thrombophilia(e.g. Antiphospholipid Syndrome or Factor V Leiden)</w:t>
            </w:r>
          </w:p>
          <w:p w:rsidR="008D7C6E" w:rsidRPr="00EB30DD" w:rsidRDefault="008D7C6E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="Times New Roman"/>
                <w:sz w:val="20"/>
                <w:szCs w:val="20"/>
                <w:lang w:eastAsia="en-US" w:bidi="fa-IR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8D7C6E" w:rsidRPr="0064276D" w:rsidRDefault="008D7C6E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7C6E" w:rsidRPr="0064276D" w:rsidTr="008D7C6E">
        <w:trPr>
          <w:gridAfter w:val="1"/>
          <w:wAfter w:w="799" w:type="dxa"/>
          <w:trHeight w:val="2051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:rsidR="008D7C6E" w:rsidRPr="00EB30DD" w:rsidRDefault="008D7C6E" w:rsidP="00F05AAC">
            <w:pPr>
              <w:spacing w:before="120" w:after="0" w:line="360" w:lineRule="auto"/>
              <w:rPr>
                <w:rFonts w:asciiTheme="minorHAnsi" w:eastAsia="MS Mincho" w:hAnsiTheme="minorHAnsi" w:cs="Times New Roman"/>
                <w:sz w:val="20"/>
                <w:szCs w:val="20"/>
                <w:lang w:eastAsia="en-US" w:bidi="fa-IR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High risk</w:t>
            </w:r>
          </w:p>
          <w:p w:rsidR="008D7C6E" w:rsidRPr="00EB30DD" w:rsidRDefault="008D7C6E" w:rsidP="008D7C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MS Mincho" w:hAnsiTheme="minorHAnsi" w:cs="Times New Roman"/>
                <w:sz w:val="20"/>
                <w:szCs w:val="20"/>
                <w:lang w:eastAsia="en-US" w:bidi="fa-IR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Fracture or major </w:t>
            </w:r>
            <w:r w:rsidR="0009485E"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orthopedics</w:t>
            </w: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surgery of pelvis, hip, or lower limb</w:t>
            </w:r>
          </w:p>
          <w:p w:rsidR="008D7C6E" w:rsidRDefault="008D7C6E" w:rsidP="008D7C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Major pelvic or abdominal surgery for cancer</w:t>
            </w:r>
          </w:p>
          <w:p w:rsidR="008D7C6E" w:rsidRPr="00EB30DD" w:rsidRDefault="008D7C6E" w:rsidP="008D7C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8D7C6E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Major surgery, trauma, or illness in patients with previous deep vein th</w:t>
            </w:r>
            <w:r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rombosis, pulmonary embolism, or</w:t>
            </w: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 xml:space="preserve"> thrombophilia</w:t>
            </w:r>
          </w:p>
          <w:p w:rsidR="008D7C6E" w:rsidRPr="00EB30DD" w:rsidRDefault="008D7C6E" w:rsidP="008D7C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Lower limb paralysis (for example, hemiplegic stroke, paraplegia)</w:t>
            </w:r>
          </w:p>
          <w:p w:rsidR="008D7C6E" w:rsidRPr="00EB30DD" w:rsidRDefault="008D7C6E" w:rsidP="008D7C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MS Mincho" w:hAnsiTheme="minorHAnsi" w:cs="Times New Roman"/>
                <w:sz w:val="20"/>
                <w:szCs w:val="20"/>
                <w:lang w:eastAsia="en-US" w:bidi="fa-IR"/>
              </w:rPr>
            </w:pPr>
            <w:r w:rsidRPr="00EB30DD">
              <w:rPr>
                <w:rFonts w:asciiTheme="minorHAnsi" w:eastAsia="Calibri" w:hAnsiTheme="minorHAnsi" w:cs="Times New Roman"/>
                <w:sz w:val="20"/>
                <w:szCs w:val="20"/>
                <w:lang w:eastAsia="en-US"/>
              </w:rPr>
              <w:t>Major lower limb amputation</w:t>
            </w: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8D7C6E" w:rsidRPr="0064276D" w:rsidRDefault="008D7C6E" w:rsidP="00F05A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30DD" w:rsidRPr="0064276D" w:rsidTr="008D7C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1461" w:type="dxa"/>
          <w:trHeight w:val="1070"/>
        </w:trPr>
        <w:tc>
          <w:tcPr>
            <w:tcW w:w="9713" w:type="dxa"/>
            <w:gridSpan w:val="2"/>
            <w:tcBorders>
              <w:bottom w:val="single" w:sz="2" w:space="0" w:color="auto"/>
            </w:tcBorders>
          </w:tcPr>
          <w:p w:rsidR="00EB30DD" w:rsidRPr="00EB30DD" w:rsidRDefault="00EB30DD" w:rsidP="00F05AAC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rtl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* Only if medical patient’s score is </w:t>
            </w: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u w:val="single"/>
                <w:lang w:eastAsia="en-US"/>
              </w:rPr>
              <w:t>&gt;</w:t>
            </w: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4 prophylaxis is recommended.</w:t>
            </w:r>
          </w:p>
          <w:p w:rsidR="00EB30DD" w:rsidRDefault="00EB30DD" w:rsidP="00F05AAC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P</w:t>
            </w:r>
            <w:r w:rsid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r</w:t>
            </w: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ophylactic</w:t>
            </w:r>
            <w:r w:rsid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enoxaparin</w:t>
            </w:r>
            <w:proofErr w:type="spellEnd"/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dose: 40 mg / daily</w:t>
            </w:r>
          </w:p>
          <w:p w:rsidR="0009485E" w:rsidRDefault="0009485E" w:rsidP="0009485E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P</w:t>
            </w:r>
            <w:r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r</w:t>
            </w: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ophylactic</w:t>
            </w:r>
            <w:r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Heparin</w:t>
            </w:r>
            <w:r w:rsidRPr="00EB30DD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dose: </w:t>
            </w:r>
            <w:r w:rsidRPr="0009485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5000 units </w:t>
            </w:r>
            <w:r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SC </w:t>
            </w:r>
            <w:r w:rsidRPr="0009485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twice or three times daily</w:t>
            </w:r>
          </w:p>
          <w:p w:rsidR="008D7C6E" w:rsidRPr="008D7C6E" w:rsidRDefault="008D7C6E" w:rsidP="008D7C6E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Cl</w:t>
            </w:r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vertAlign w:val="subscript"/>
                <w:lang w:eastAsia="en-US"/>
              </w:rPr>
              <w:t>cr</w:t>
            </w:r>
            <w:proofErr w:type="spellEnd"/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 20 to 29 </w:t>
            </w:r>
            <w:proofErr w:type="spellStart"/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mL</w:t>
            </w:r>
            <w:proofErr w:type="spellEnd"/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/min: Reduce to 30 mg once daily (medical or surgical patients)</w:t>
            </w:r>
          </w:p>
          <w:p w:rsidR="00EB30DD" w:rsidRPr="008D7C6E" w:rsidRDefault="00C976E8" w:rsidP="008D7C6E">
            <w:pPr>
              <w:spacing w:after="0" w:line="240" w:lineRule="auto"/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</w:pPr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BMI ≥40 kg/m</w:t>
            </w:r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vertAlign w:val="superscript"/>
                <w:lang w:eastAsia="en-US"/>
              </w:rPr>
              <w:t>2</w:t>
            </w:r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: Empirically increase dose by 30% </w:t>
            </w:r>
            <w:proofErr w:type="gramStart"/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>( 40</w:t>
            </w:r>
            <w:proofErr w:type="gramEnd"/>
            <w:r w:rsidRPr="008D7C6E">
              <w:rPr>
                <w:rFonts w:asciiTheme="minorHAnsi" w:eastAsia="Calibri" w:hAnsiTheme="minorHAnsi" w:cs="Times New Roman"/>
                <w:b/>
                <w:bCs/>
                <w:sz w:val="20"/>
                <w:szCs w:val="20"/>
                <w:lang w:eastAsia="en-US"/>
              </w:rPr>
              <w:t xml:space="preserve"> mg every 12 hours).</w:t>
            </w:r>
          </w:p>
        </w:tc>
      </w:tr>
    </w:tbl>
    <w:p w:rsidR="00667ED3" w:rsidRDefault="00667ED3" w:rsidP="00981C15"/>
    <w:sectPr w:rsidR="00667ED3" w:rsidSect="0078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0DCB"/>
    <w:multiLevelType w:val="hybridMultilevel"/>
    <w:tmpl w:val="9A68F278"/>
    <w:lvl w:ilvl="0" w:tplc="A6D8508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C6CBFF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6A014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C3AED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78EB8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A347D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BDE76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D882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A621DB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>
    <w:nsid w:val="11F92651"/>
    <w:multiLevelType w:val="hybridMultilevel"/>
    <w:tmpl w:val="C5B4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E4BF4"/>
    <w:multiLevelType w:val="hybridMultilevel"/>
    <w:tmpl w:val="5F5E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94760"/>
    <w:multiLevelType w:val="hybridMultilevel"/>
    <w:tmpl w:val="04661F7E"/>
    <w:lvl w:ilvl="0" w:tplc="7396BD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440F328">
      <w:start w:val="2084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7A0DA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395E1D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19890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046C9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D34E9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E642C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228F8B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">
    <w:nsid w:val="23176224"/>
    <w:multiLevelType w:val="hybridMultilevel"/>
    <w:tmpl w:val="9634CC54"/>
    <w:lvl w:ilvl="0" w:tplc="7396BD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4E87"/>
    <w:multiLevelType w:val="hybridMultilevel"/>
    <w:tmpl w:val="C1CA0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740272"/>
    <w:multiLevelType w:val="hybridMultilevel"/>
    <w:tmpl w:val="FF225FCA"/>
    <w:lvl w:ilvl="0" w:tplc="7396BD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0487B"/>
    <w:multiLevelType w:val="hybridMultilevel"/>
    <w:tmpl w:val="BC1E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107D4"/>
    <w:multiLevelType w:val="hybridMultilevel"/>
    <w:tmpl w:val="BFA6F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FE590A"/>
    <w:multiLevelType w:val="hybridMultilevel"/>
    <w:tmpl w:val="1B3A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80373"/>
    <w:multiLevelType w:val="hybridMultilevel"/>
    <w:tmpl w:val="F8EC23A2"/>
    <w:lvl w:ilvl="0" w:tplc="6AC43B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1088B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C0037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FCA3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6267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E5C62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4A88E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9A037C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C041D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145F8"/>
    <w:multiLevelType w:val="hybridMultilevel"/>
    <w:tmpl w:val="FCEC7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15699"/>
    <w:multiLevelType w:val="hybridMultilevel"/>
    <w:tmpl w:val="C726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C4B07"/>
    <w:multiLevelType w:val="hybridMultilevel"/>
    <w:tmpl w:val="1D2A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E51CC"/>
    <w:rsid w:val="00012BF3"/>
    <w:rsid w:val="0009485E"/>
    <w:rsid w:val="004E51CC"/>
    <w:rsid w:val="006034A0"/>
    <w:rsid w:val="00667ED3"/>
    <w:rsid w:val="00700FB3"/>
    <w:rsid w:val="00780683"/>
    <w:rsid w:val="008D7C6E"/>
    <w:rsid w:val="00981C15"/>
    <w:rsid w:val="00C976E8"/>
    <w:rsid w:val="00D214D1"/>
    <w:rsid w:val="00EB30DD"/>
    <w:rsid w:val="00EE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CC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4E51CC"/>
    <w:rPr>
      <w:color w:val="221E1F"/>
      <w:sz w:val="16"/>
      <w:szCs w:val="16"/>
    </w:rPr>
  </w:style>
  <w:style w:type="paragraph" w:customStyle="1" w:styleId="Default">
    <w:name w:val="Default"/>
    <w:rsid w:val="004E5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1CC"/>
    <w:pPr>
      <w:ind w:left="720"/>
      <w:contextualSpacing/>
    </w:pPr>
  </w:style>
  <w:style w:type="table" w:styleId="TableGrid">
    <w:name w:val="Table Grid"/>
    <w:basedOn w:val="TableNormal"/>
    <w:uiPriority w:val="59"/>
    <w:rsid w:val="00667ED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CC"/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0">
    <w:name w:val="A0"/>
    <w:uiPriority w:val="99"/>
    <w:rsid w:val="004E51CC"/>
    <w:rPr>
      <w:color w:val="221E1F"/>
      <w:sz w:val="16"/>
      <w:szCs w:val="16"/>
    </w:rPr>
  </w:style>
  <w:style w:type="paragraph" w:customStyle="1" w:styleId="Default">
    <w:name w:val="Default"/>
    <w:rsid w:val="004E5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1CC"/>
    <w:pPr>
      <w:ind w:left="720"/>
      <w:contextualSpacing/>
    </w:pPr>
  </w:style>
  <w:style w:type="table" w:styleId="TableGrid">
    <w:name w:val="Table Grid"/>
    <w:basedOn w:val="TableNormal"/>
    <w:uiPriority w:val="59"/>
    <w:rsid w:val="00667ED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02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cp:lastModifiedBy>DR-GHAFFARI</cp:lastModifiedBy>
  <cp:revision>8</cp:revision>
  <dcterms:created xsi:type="dcterms:W3CDTF">2015-10-19T05:11:00Z</dcterms:created>
  <dcterms:modified xsi:type="dcterms:W3CDTF">2016-01-20T19:18:00Z</dcterms:modified>
</cp:coreProperties>
</file>