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5F" w:rsidRDefault="005826C7" w:rsidP="005826C7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5826C7">
        <w:rPr>
          <w:rFonts w:cs="B Nazanin" w:hint="cs"/>
          <w:sz w:val="32"/>
          <w:szCs w:val="32"/>
          <w:rtl/>
          <w:lang w:bidi="fa-IR"/>
        </w:rPr>
        <w:t>خلاصه گرافیکی (  ارزیابی حساسیت میکروارگانیسم های دخیل در عفونت های مجاری ادراری در مقابل آنتی بیوتیکهای رایج در بیمارستان شهید محلاتی تبریزدر سال های</w:t>
      </w:r>
      <w:r>
        <w:rPr>
          <w:rFonts w:cs="B Nazanin" w:hint="cs"/>
          <w:sz w:val="32"/>
          <w:szCs w:val="32"/>
          <w:rtl/>
          <w:lang w:bidi="fa-IR"/>
        </w:rPr>
        <w:t xml:space="preserve"> 1391و1392</w:t>
      </w:r>
      <w:r w:rsidRPr="005826C7">
        <w:rPr>
          <w:rFonts w:cs="B Nazanin" w:hint="cs"/>
          <w:sz w:val="32"/>
          <w:szCs w:val="32"/>
          <w:rtl/>
          <w:lang w:bidi="fa-IR"/>
        </w:rPr>
        <w:t>)</w:t>
      </w:r>
    </w:p>
    <w:p w:rsidR="005826C7" w:rsidRDefault="00EE0732" w:rsidP="005826C7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sz w:val="32"/>
          <w:szCs w:val="32"/>
          <w:rtl/>
        </w:rPr>
        <w:pict>
          <v:rect id="_x0000_s1026" style="position:absolute;left:0;text-align:left;margin-left:774.4pt;margin-top:35.4pt;width:364.3pt;height:185.9pt;z-index:251658240" stroked="f">
            <v:textbox>
              <w:txbxContent>
                <w:p w:rsidR="007D266A" w:rsidRPr="00F10304" w:rsidRDefault="007D266A" w:rsidP="007D266A">
                  <w:pPr>
                    <w:pStyle w:val="Heading3"/>
                    <w:rPr>
                      <w:b/>
                      <w:bCs/>
                      <w:rtl/>
                    </w:rPr>
                  </w:pPr>
                  <w:bookmarkStart w:id="0" w:name="_Toc395218915"/>
                  <w:r w:rsidRPr="00F10304">
                    <w:rPr>
                      <w:rFonts w:hint="cs"/>
                      <w:b/>
                      <w:bCs/>
                      <w:rtl/>
                    </w:rPr>
                    <w:t>جدول 1-4-تعداد مراجعه کنندگان وتعداد ودرصد کشت های مثبت به تفکیک جنسیت</w:t>
                  </w:r>
                  <w:bookmarkEnd w:id="0"/>
                </w:p>
                <w:tbl>
                  <w:tblPr>
                    <w:tblStyle w:val="TableGrid"/>
                    <w:bidiVisual/>
                    <w:tblW w:w="0" w:type="auto"/>
                    <w:tblLook w:val="04A0"/>
                  </w:tblPr>
                  <w:tblGrid>
                    <w:gridCol w:w="1758"/>
                    <w:gridCol w:w="1791"/>
                    <w:gridCol w:w="1930"/>
                    <w:gridCol w:w="1734"/>
                  </w:tblGrid>
                  <w:tr w:rsidR="007D266A" w:rsidTr="008D6E1D">
                    <w:tc>
                      <w:tcPr>
                        <w:tcW w:w="2310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سال مطالعه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تعداد مراجعه کنندگان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تعداد ودر صد کشت های مثبت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در صد زنان با کشت مثبت</w:t>
                        </w:r>
                      </w:p>
                    </w:tc>
                  </w:tr>
                  <w:tr w:rsidR="007D266A" w:rsidTr="008D6E1D">
                    <w:tc>
                      <w:tcPr>
                        <w:tcW w:w="2310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1391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6278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486(7/7%)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1/70</w:t>
                        </w:r>
                      </w:p>
                    </w:tc>
                  </w:tr>
                  <w:tr w:rsidR="007D266A" w:rsidTr="008D6E1D">
                    <w:tc>
                      <w:tcPr>
                        <w:tcW w:w="2310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1392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7497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7D266A" w:rsidRDefault="007D266A" w:rsidP="008D6E1D">
                        <w:pPr>
                          <w:bidi/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354(7/4%)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1/77</w:t>
                        </w:r>
                      </w:p>
                    </w:tc>
                  </w:tr>
                  <w:tr w:rsidR="007D266A" w:rsidTr="008D6E1D">
                    <w:tc>
                      <w:tcPr>
                        <w:tcW w:w="2310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کل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13775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840(6%)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7D266A" w:rsidRDefault="007D266A" w:rsidP="008D6E1D">
                        <w:pPr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rtl/>
                          </w:rPr>
                          <w:t>73</w:t>
                        </w:r>
                      </w:p>
                    </w:tc>
                  </w:tr>
                </w:tbl>
                <w:p w:rsidR="007D266A" w:rsidRDefault="007D266A"/>
              </w:txbxContent>
            </v:textbox>
          </v:rect>
        </w:pict>
      </w:r>
      <w:r>
        <w:rPr>
          <w:rFonts w:cs="B Nazanin"/>
          <w:noProof/>
          <w:sz w:val="32"/>
          <w:szCs w:val="32"/>
          <w:rtl/>
        </w:rPr>
        <w:pict>
          <v:rect id="_x0000_s1027" style="position:absolute;left:0;text-align:left;margin-left:6.1pt;margin-top:35.4pt;width:366.4pt;height:228.9pt;z-index:251659264" stroked="f">
            <v:textbox>
              <w:txbxContent>
                <w:p w:rsidR="007D266A" w:rsidRPr="00B65E1A" w:rsidRDefault="007D266A" w:rsidP="007D266A">
                  <w:pPr>
                    <w:pStyle w:val="Heading3"/>
                    <w:rPr>
                      <w:b/>
                      <w:bCs/>
                      <w:rtl/>
                    </w:rPr>
                  </w:pPr>
                  <w:bookmarkStart w:id="1" w:name="_Toc395218917"/>
                  <w:r w:rsidRPr="00B65E1A">
                    <w:rPr>
                      <w:rFonts w:hint="cs"/>
                      <w:b/>
                      <w:bCs/>
                      <w:rtl/>
                    </w:rPr>
                    <w:t>جدول 2-4-تعداد میکروارگانیسم های جداشده از کشت های مثبت ادراری ودرصد کلی شیوع آنها</w:t>
                  </w:r>
                  <w:bookmarkEnd w:id="1"/>
                </w:p>
                <w:tbl>
                  <w:tblPr>
                    <w:tblStyle w:val="TableGrid"/>
                    <w:bidiVisual/>
                    <w:tblW w:w="0" w:type="auto"/>
                    <w:tblLook w:val="04A0"/>
                  </w:tblPr>
                  <w:tblGrid>
                    <w:gridCol w:w="2080"/>
                    <w:gridCol w:w="1348"/>
                    <w:gridCol w:w="1351"/>
                    <w:gridCol w:w="1231"/>
                    <w:gridCol w:w="1245"/>
                  </w:tblGrid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نام میکروارگانیسم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سال 1391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سال 1392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کل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درصد کل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اشریشیا کلی 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(8/65%)320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(7/69%)247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567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5/67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کلبسیلا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(6/8%)42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(8/15%)56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98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6/11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انتروباکتر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(4/7%)36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(2/6%)22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58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9/6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پروتئوس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(6/7%)37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(56/0%)2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39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6/4</w:t>
                        </w:r>
                      </w:p>
                    </w:tc>
                  </w:tr>
                  <w:tr w:rsidR="00E66E71" w:rsidRPr="00E66E71" w:rsidTr="00E66E71">
                    <w:trPr>
                      <w:trHeight w:val="206"/>
                    </w:trPr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استافیلوکوکوس اپیدرمیدیس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(1/5%)25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(9/3%)14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39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6/4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سیتروباکتر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(82/0%)4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(5/2%)9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5/1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سودوموناس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(2/2%)11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(28/0%)1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4/1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انتروکوکوس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(6/1%)8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95/0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استافیلوکوکوس اورئوس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(84/0%)3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35/0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استافیلوکوکوس ساپروفیتیکوس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(41/0%)2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23/0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آسینیتوباکتر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(2/0%)1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11/0</w:t>
                        </w:r>
                      </w:p>
                    </w:tc>
                  </w:tr>
                  <w:tr w:rsidR="00E66E71" w:rsidRPr="00E66E71" w:rsidTr="00010E25">
                    <w:tc>
                      <w:tcPr>
                        <w:tcW w:w="2376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مجموع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486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354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840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E66E71" w:rsidRPr="00E66E71" w:rsidRDefault="00E66E71" w:rsidP="00010E25">
                        <w:pPr>
                          <w:jc w:val="center"/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100</w:t>
                        </w:r>
                      </w:p>
                    </w:tc>
                  </w:tr>
                </w:tbl>
                <w:p w:rsidR="007D266A" w:rsidRDefault="007D266A"/>
              </w:txbxContent>
            </v:textbox>
          </v:rect>
        </w:pict>
      </w:r>
      <w:r w:rsidR="005826C7">
        <w:rPr>
          <w:rFonts w:cs="B Nazanin" w:hint="cs"/>
          <w:sz w:val="32"/>
          <w:szCs w:val="32"/>
          <w:rtl/>
          <w:lang w:bidi="fa-IR"/>
        </w:rPr>
        <w:t xml:space="preserve">مراجعه به نرم افزار </w:t>
      </w:r>
      <w:r w:rsidR="005826C7">
        <w:rPr>
          <w:rFonts w:cs="B Nazanin"/>
          <w:sz w:val="32"/>
          <w:szCs w:val="32"/>
          <w:lang w:bidi="fa-IR"/>
        </w:rPr>
        <w:t>HIS</w:t>
      </w:r>
      <w:r w:rsidR="005826C7">
        <w:rPr>
          <w:rFonts w:cs="B Nazanin" w:hint="cs"/>
          <w:sz w:val="32"/>
          <w:szCs w:val="32"/>
          <w:rtl/>
          <w:lang w:bidi="fa-IR"/>
        </w:rPr>
        <w:t xml:space="preserve"> بیمارستان شهید محلاتی تبریز، بررسی پرونده بیماران مشکوک سال 91و92 استخراج و تقسیم بندی اطلاعات (جنسیت افراد، نوع میکروارگانیسم، حساسیت و مقاومت)</w:t>
      </w:r>
    </w:p>
    <w:p w:rsidR="007D266A" w:rsidRPr="005826C7" w:rsidRDefault="00D03FEC" w:rsidP="007D266A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sz w:val="32"/>
          <w:szCs w:val="32"/>
          <w:rtl/>
        </w:rPr>
        <w:pict>
          <v:rect id="_x0000_s1035" style="position:absolute;left:0;text-align:left;margin-left:42.7pt;margin-top:227pt;width:329.8pt;height:213.85pt;z-index:251666432" stroked="f">
            <v:textbox>
              <w:txbxContent>
                <w:p w:rsidR="00D03FEC" w:rsidRDefault="00D03FEC" w:rsidP="00D03FEC">
                  <w:pPr>
                    <w:jc w:val="center"/>
                    <w:rPr>
                      <w:rFonts w:hint="cs"/>
                      <w:rtl/>
                    </w:rPr>
                  </w:pPr>
                  <w:r w:rsidRPr="00D03FEC">
                    <w:drawing>
                      <wp:inline distT="0" distB="0" distL="0" distR="0">
                        <wp:extent cx="3373895" cy="1995054"/>
                        <wp:effectExtent l="19050" t="0" r="17005" b="5196"/>
                        <wp:docPr id="3" name="Chart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:inline>
                    </w:drawing>
                  </w:r>
                </w:p>
                <w:p w:rsidR="009F7FDB" w:rsidRDefault="009F7FDB" w:rsidP="009F7FDB">
                  <w:pPr>
                    <w:bidi/>
                    <w:jc w:val="center"/>
                  </w:pPr>
                  <w:r w:rsidRPr="009F7FDB">
                    <w:rPr>
                      <w:rFonts w:cs="B Nazanin"/>
                      <w:rtl/>
                      <w:lang w:bidi="fa-IR"/>
                    </w:rPr>
                    <w:t>درصدشیوع میکروارگانیسم های عامل</w:t>
                  </w:r>
                  <w:r w:rsidRPr="009F7FDB">
                    <w:rPr>
                      <w:rtl/>
                      <w:lang w:bidi="fa-IR"/>
                    </w:rPr>
                    <w:t xml:space="preserve"> </w:t>
                  </w:r>
                  <w:r w:rsidRPr="009F7FDB">
                    <w:rPr>
                      <w:rFonts w:asciiTheme="majorBidi" w:hAnsiTheme="majorBidi" w:cstheme="majorBidi"/>
                    </w:rPr>
                    <w:t>UTI</w:t>
                  </w:r>
                  <w:r>
                    <w:rPr>
                      <w:rFonts w:asciiTheme="majorBidi" w:hAnsiTheme="majorBidi" w:cstheme="majorBidi" w:hint="cs"/>
                      <w:rtl/>
                    </w:rPr>
                    <w:t xml:space="preserve"> در سال‌های 1391 و 1392</w:t>
                  </w:r>
                </w:p>
              </w:txbxContent>
            </v:textbox>
          </v:rect>
        </w:pict>
      </w:r>
      <w:r w:rsidR="00E66E71">
        <w:rPr>
          <w:rFonts w:cs="B Nazanin"/>
          <w:noProof/>
          <w:sz w:val="32"/>
          <w:szCs w:val="32"/>
          <w:rtl/>
        </w:rPr>
        <w:pict>
          <v:rect id="_x0000_s1033" style="position:absolute;left:0;text-align:left;margin-left:1005.35pt;margin-top:258.5pt;width:77.15pt;height:17.3pt;z-index:251664384" wrapcoords="-210 0 -210 20661 21600 20661 21600 0 -210 0" stroked="f">
            <v:textbox>
              <w:txbxContent>
                <w:p w:rsidR="00E66E71" w:rsidRPr="00E66E71" w:rsidRDefault="00E66E71">
                  <w:pP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</w:pPr>
                  <w:r w:rsidRPr="00E66E71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درصد حساسیت و مقاومت</w:t>
                  </w:r>
                </w:p>
              </w:txbxContent>
            </v:textbox>
          </v:rect>
        </w:pict>
      </w:r>
      <w:r w:rsidR="00E66E71">
        <w:rPr>
          <w:rFonts w:cs="B Nazanin"/>
          <w:noProof/>
          <w:sz w:val="32"/>
          <w:szCs w:val="32"/>
          <w:rtl/>
        </w:rPr>
        <w:pict>
          <v:rect id="_x0000_s1034" style="position:absolute;left:0;text-align:left;margin-left:1082.5pt;margin-top:264.6pt;width:45.35pt;height:17.75pt;z-index:251665408" stroked="f">
            <v:textbox>
              <w:txbxContent>
                <w:p w:rsidR="00E66E71" w:rsidRPr="00E66E71" w:rsidRDefault="00E66E71">
                  <w:pPr>
                    <w:rPr>
                      <w:rFonts w:cs="B Nazanin" w:hint="cs"/>
                      <w:sz w:val="14"/>
                      <w:szCs w:val="14"/>
                      <w:lang w:bidi="fa-IR"/>
                    </w:rPr>
                  </w:pPr>
                  <w:r w:rsidRPr="00E66E71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آنتی بیوتیک</w:t>
                  </w:r>
                </w:p>
              </w:txbxContent>
            </v:textbox>
          </v:rect>
        </w:pict>
      </w:r>
      <w:r w:rsidR="00E66E71">
        <w:rPr>
          <w:rFonts w:cs="B Nazanin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005.35pt;margin-top:259.45pt;width:123.45pt;height:22.9pt;flip:y;z-index:251663360" o:connectortype="straight"/>
        </w:pict>
      </w:r>
      <w:r w:rsidR="00E66E71">
        <w:rPr>
          <w:rFonts w:cs="B Nazanin"/>
          <w:noProof/>
          <w:sz w:val="32"/>
          <w:szCs w:val="32"/>
          <w:rtl/>
        </w:rPr>
        <w:pict>
          <v:rect id="_x0000_s1030" style="position:absolute;left:0;text-align:left;margin-left:-1.5pt;margin-top:445.45pt;width:483.6pt;height:284.5pt;z-index:251662336" stroked="f">
            <v:textbox>
              <w:txbxContent>
                <w:p w:rsidR="00E66E71" w:rsidRDefault="00E66E71" w:rsidP="003C2E34">
                  <w:pPr>
                    <w:jc w:val="center"/>
                  </w:pPr>
                  <w:r w:rsidRPr="003C2E34">
                    <w:rPr>
                      <w:noProof/>
                    </w:rPr>
                    <w:drawing>
                      <wp:inline distT="0" distB="0" distL="0" distR="0">
                        <wp:extent cx="5280660" cy="3176460"/>
                        <wp:effectExtent l="19050" t="0" r="15240" b="4890"/>
                        <wp:docPr id="2" name="Chart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inline>
                    </w:drawing>
                  </w:r>
                </w:p>
                <w:p w:rsidR="00E66E71" w:rsidRDefault="00E66E71" w:rsidP="00E66E71">
                  <w:pPr>
                    <w:jc w:val="center"/>
                    <w:rPr>
                      <w:rFonts w:asciiTheme="majorBidi" w:hAnsiTheme="majorBidi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hint="cs"/>
                      <w:noProof/>
                      <w:sz w:val="20"/>
                      <w:szCs w:val="20"/>
                      <w:rtl/>
                    </w:rPr>
                    <w:t>نمودار 4-4- درصد حساسیت ومقاومت انتروباکتریاسه های جدا شده از نمونه های کشت ادراری مثبت در سال های 1391و1392</w:t>
                  </w:r>
                </w:p>
                <w:p w:rsidR="003C2E34" w:rsidRDefault="003C2E34" w:rsidP="003C2E34">
                  <w:pPr>
                    <w:jc w:val="center"/>
                  </w:pPr>
                </w:p>
              </w:txbxContent>
            </v:textbox>
          </v:rect>
        </w:pict>
      </w:r>
      <w:r w:rsidR="00E66E71">
        <w:rPr>
          <w:rFonts w:cs="B Nazanin"/>
          <w:noProof/>
          <w:sz w:val="32"/>
          <w:szCs w:val="32"/>
          <w:rtl/>
        </w:rPr>
        <w:pict>
          <v:rect id="_x0000_s1029" style="position:absolute;left:0;text-align:left;margin-left:674.45pt;margin-top:445.45pt;width:470.65pt;height:279.1pt;z-index:251661312" stroked="f">
            <v:textbox>
              <w:txbxContent>
                <w:p w:rsidR="00E66E71" w:rsidRDefault="00E66E71" w:rsidP="003C2E34">
                  <w:pPr>
                    <w:jc w:val="center"/>
                  </w:pPr>
                  <w:r w:rsidRPr="007D266A">
                    <w:rPr>
                      <w:noProof/>
                    </w:rPr>
                    <w:drawing>
                      <wp:inline distT="0" distB="0" distL="0" distR="0">
                        <wp:extent cx="5326621" cy="3039762"/>
                        <wp:effectExtent l="19050" t="0" r="26429" b="8238"/>
                        <wp:docPr id="1" name="Chart 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  <w:p w:rsidR="00E66E71" w:rsidRDefault="00E66E71" w:rsidP="00E66E71">
                  <w:pPr>
                    <w:pStyle w:val="Heading3"/>
                    <w:rPr>
                      <w:rtl/>
                    </w:rPr>
                  </w:pPr>
                  <w:bookmarkStart w:id="2" w:name="_Toc395218939"/>
                  <w:r>
                    <w:rPr>
                      <w:rFonts w:hint="cs"/>
                      <w:rtl/>
                    </w:rPr>
                    <w:t xml:space="preserve">نمودار 1-4- درصد </w:t>
                  </w:r>
                  <w:bookmarkStart w:id="3" w:name="OLE_LINK336"/>
                  <w:bookmarkStart w:id="4" w:name="OLE_LINK337"/>
                  <w:r>
                    <w:rPr>
                      <w:rFonts w:hint="cs"/>
                      <w:rtl/>
                    </w:rPr>
                    <w:t>حساسیت ومقاومت اشریشیاکلی های جدا شده از نمونه های کشت ادراری مثبت در سال های 1391و</w:t>
                  </w:r>
                  <w:bookmarkEnd w:id="3"/>
                  <w:bookmarkEnd w:id="4"/>
                  <w:r>
                    <w:rPr>
                      <w:rFonts w:hint="cs"/>
                      <w:rtl/>
                    </w:rPr>
                    <w:t>1392</w:t>
                  </w:r>
                  <w:bookmarkEnd w:id="2"/>
                </w:p>
                <w:p w:rsidR="007D266A" w:rsidRDefault="007D266A" w:rsidP="003C2E34">
                  <w:pPr>
                    <w:jc w:val="center"/>
                  </w:pPr>
                </w:p>
              </w:txbxContent>
            </v:textbox>
          </v:rect>
        </w:pict>
      </w:r>
      <w:r w:rsidR="00EE0732">
        <w:rPr>
          <w:rFonts w:cs="B Nazanin"/>
          <w:noProof/>
          <w:sz w:val="32"/>
          <w:szCs w:val="32"/>
          <w:rtl/>
        </w:rPr>
        <w:pict>
          <v:rect id="_x0000_s1028" style="position:absolute;left:0;text-align:left;margin-left:390.75pt;margin-top:191.55pt;width:769.45pt;height:260.05pt;z-index:251660288" stroked="f">
            <v:textbox>
              <w:txbxContent>
                <w:p w:rsidR="007D266A" w:rsidRPr="00DD03F0" w:rsidRDefault="007D266A" w:rsidP="007D266A">
                  <w:pPr>
                    <w:pStyle w:val="Heading3"/>
                    <w:rPr>
                      <w:sz w:val="22"/>
                      <w:szCs w:val="24"/>
                      <w:rtl/>
                    </w:rPr>
                  </w:pPr>
                  <w:bookmarkStart w:id="5" w:name="_Toc395218938"/>
                  <w:r w:rsidRPr="00DD03F0">
                    <w:rPr>
                      <w:rFonts w:hint="cs"/>
                      <w:sz w:val="22"/>
                      <w:szCs w:val="24"/>
                      <w:rtl/>
                    </w:rPr>
                    <w:t>جدول 20-4- درصد حساسیت و مقاومت آنتی بیوتیکی انتروباکتریاسه های جدا شده از نمونه های کشت ادراری مثبت در سال های 1391-1392</w:t>
                  </w:r>
                  <w:bookmarkEnd w:id="5"/>
                </w:p>
                <w:tbl>
                  <w:tblPr>
                    <w:tblStyle w:val="TableGrid"/>
                    <w:bidiVisual/>
                    <w:tblW w:w="14082" w:type="dxa"/>
                    <w:jc w:val="center"/>
                    <w:tblInd w:w="-1196" w:type="dxa"/>
                    <w:tblLook w:val="04A0"/>
                  </w:tblPr>
                  <w:tblGrid>
                    <w:gridCol w:w="2480"/>
                    <w:gridCol w:w="723"/>
                    <w:gridCol w:w="724"/>
                    <w:gridCol w:w="724"/>
                    <w:gridCol w:w="724"/>
                    <w:gridCol w:w="725"/>
                    <w:gridCol w:w="725"/>
                    <w:gridCol w:w="724"/>
                    <w:gridCol w:w="724"/>
                    <w:gridCol w:w="723"/>
                    <w:gridCol w:w="724"/>
                    <w:gridCol w:w="724"/>
                    <w:gridCol w:w="724"/>
                    <w:gridCol w:w="724"/>
                    <w:gridCol w:w="724"/>
                    <w:gridCol w:w="725"/>
                    <w:gridCol w:w="722"/>
                    <w:gridCol w:w="19"/>
                  </w:tblGrid>
                  <w:tr w:rsidR="007D266A" w:rsidRPr="007D266A" w:rsidTr="00D03FEC">
                    <w:trPr>
                      <w:gridAfter w:val="1"/>
                      <w:wAfter w:w="19" w:type="dxa"/>
                      <w:trHeight w:val="173"/>
                      <w:jc w:val="center"/>
                    </w:trPr>
                    <w:tc>
                      <w:tcPr>
                        <w:tcW w:w="2480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D266A" w:rsidRPr="00D03FEC" w:rsidRDefault="007D266A" w:rsidP="00D03FEC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D03FEC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میکروارگانیسم</w:t>
                        </w:r>
                      </w:p>
                    </w:tc>
                    <w:tc>
                      <w:tcPr>
                        <w:tcW w:w="2895" w:type="dxa"/>
                        <w:gridSpan w:val="4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7D266A">
                          <w:rPr>
                            <w:sz w:val="20"/>
                            <w:szCs w:val="20"/>
                          </w:rPr>
                          <w:t>Ecoli</w:t>
                        </w:r>
                        <w:proofErr w:type="spellEnd"/>
                      </w:p>
                    </w:tc>
                    <w:tc>
                      <w:tcPr>
                        <w:tcW w:w="2898" w:type="dxa"/>
                        <w:gridSpan w:val="4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کلبسیا</w:t>
                        </w:r>
                      </w:p>
                    </w:tc>
                    <w:tc>
                      <w:tcPr>
                        <w:tcW w:w="2895" w:type="dxa"/>
                        <w:gridSpan w:val="4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انتروباکتر</w:t>
                        </w:r>
                      </w:p>
                    </w:tc>
                    <w:tc>
                      <w:tcPr>
                        <w:tcW w:w="2895" w:type="dxa"/>
                        <w:gridSpan w:val="4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پروتئوس</w:t>
                        </w:r>
                      </w:p>
                    </w:tc>
                  </w:tr>
                  <w:tr w:rsidR="007D266A" w:rsidRPr="007D266A" w:rsidTr="003C2E34">
                    <w:trPr>
                      <w:gridAfter w:val="1"/>
                      <w:wAfter w:w="19" w:type="dxa"/>
                      <w:trHeight w:val="164"/>
                      <w:jc w:val="center"/>
                    </w:trPr>
                    <w:tc>
                      <w:tcPr>
                        <w:tcW w:w="2480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سال</w:t>
                        </w:r>
                      </w:p>
                    </w:tc>
                    <w:tc>
                      <w:tcPr>
                        <w:tcW w:w="1447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1391</w:t>
                        </w:r>
                      </w:p>
                    </w:tc>
                    <w:tc>
                      <w:tcPr>
                        <w:tcW w:w="1448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1392</w:t>
                        </w:r>
                      </w:p>
                    </w:tc>
                    <w:tc>
                      <w:tcPr>
                        <w:tcW w:w="1450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1391</w:t>
                        </w:r>
                      </w:p>
                    </w:tc>
                    <w:tc>
                      <w:tcPr>
                        <w:tcW w:w="1448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1392</w:t>
                        </w:r>
                      </w:p>
                    </w:tc>
                    <w:tc>
                      <w:tcPr>
                        <w:tcW w:w="1447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1391</w:t>
                        </w:r>
                      </w:p>
                    </w:tc>
                    <w:tc>
                      <w:tcPr>
                        <w:tcW w:w="1448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1392</w:t>
                        </w:r>
                      </w:p>
                    </w:tc>
                    <w:tc>
                      <w:tcPr>
                        <w:tcW w:w="1448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1391</w:t>
                        </w:r>
                      </w:p>
                    </w:tc>
                    <w:tc>
                      <w:tcPr>
                        <w:tcW w:w="1447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1392</w:t>
                        </w:r>
                      </w:p>
                    </w:tc>
                  </w:tr>
                  <w:tr w:rsidR="003C2E34" w:rsidRPr="007D266A" w:rsidTr="003C2E34">
                    <w:trPr>
                      <w:trHeight w:val="211"/>
                      <w:jc w:val="center"/>
                    </w:trPr>
                    <w:tc>
                      <w:tcPr>
                        <w:tcW w:w="2480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:rsidR="007D266A" w:rsidRDefault="007D266A" w:rsidP="008D6E1D">
                        <w:pP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</w:pPr>
                      </w:p>
                      <w:p w:rsidR="00E66E71" w:rsidRPr="007D266A" w:rsidRDefault="00E66E71" w:rsidP="008D6E1D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R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R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R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R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R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R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R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tcBorders>
                          <w:top w:val="single" w:sz="12" w:space="0" w:color="auto"/>
                        </w:tcBorders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R</w:t>
                        </w:r>
                        <w:r w:rsidRPr="007D266A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</w:rPr>
                          <w:t>%</w:t>
                        </w:r>
                      </w:p>
                    </w:tc>
                  </w:tr>
                  <w:tr w:rsidR="003C2E34" w:rsidRPr="007D266A" w:rsidTr="00E66E71">
                    <w:trPr>
                      <w:trHeight w:val="299"/>
                      <w:jc w:val="center"/>
                    </w:trPr>
                    <w:tc>
                      <w:tcPr>
                        <w:tcW w:w="24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E66E71" w:rsidRDefault="007D266A" w:rsidP="00E66E71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سیپروفلوکساسین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6/75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8/16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2/54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2/19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A8453E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8453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9/11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5/9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A8453E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8453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3/33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1/61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7/27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5/54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2/27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3/78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7/2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100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</w:tr>
                  <w:tr w:rsidR="003C2E34" w:rsidRPr="007D266A" w:rsidTr="00E66E71">
                    <w:trPr>
                      <w:trHeight w:val="299"/>
                      <w:jc w:val="center"/>
                    </w:trPr>
                    <w:tc>
                      <w:tcPr>
                        <w:tcW w:w="24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E66E71" w:rsidRDefault="007D266A" w:rsidP="00E66E71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کوتریموکسازول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5/32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9/55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9/31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52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9/30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38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41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4/44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A8453E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8453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4/19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8/63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A8453E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8453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4/45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9/40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6/21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7/56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</w:tr>
                  <w:tr w:rsidR="003C2E34" w:rsidRPr="007D266A" w:rsidTr="00E66E71">
                    <w:trPr>
                      <w:trHeight w:val="299"/>
                      <w:jc w:val="center"/>
                    </w:trPr>
                    <w:tc>
                      <w:tcPr>
                        <w:tcW w:w="24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E66E71" w:rsidRDefault="007D266A" w:rsidP="00E66E71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آمپی سیلین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31/0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6/44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2/1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6/69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7/77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7/2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59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27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</w:tr>
                  <w:tr w:rsidR="003C2E34" w:rsidRPr="007D266A" w:rsidTr="00E66E71">
                    <w:trPr>
                      <w:trHeight w:val="299"/>
                      <w:jc w:val="center"/>
                    </w:trPr>
                    <w:tc>
                      <w:tcPr>
                        <w:tcW w:w="24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E66E71" w:rsidRDefault="007D266A" w:rsidP="00E66E71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سفکسیم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5/31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3/30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3/32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6/33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9/30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4/40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41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7/40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2/22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8/38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1/18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4/45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8/10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6/21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</w:tr>
                  <w:tr w:rsidR="003C2E34" w:rsidRPr="007D266A" w:rsidTr="00E66E71">
                    <w:trPr>
                      <w:trHeight w:val="299"/>
                      <w:jc w:val="center"/>
                    </w:trPr>
                    <w:tc>
                      <w:tcPr>
                        <w:tcW w:w="24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E66E71" w:rsidRDefault="007D266A" w:rsidP="00E66E71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نیتروفورانتوئین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5/26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2/16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1/42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9/6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A8453E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8453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5/9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3/33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A8453E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8453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9/33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3/20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72D29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72D29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1/11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1/36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A8453E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8453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4/45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1/18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3/24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27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</w:tr>
                  <w:tr w:rsidR="003C2E34" w:rsidRPr="007D266A" w:rsidTr="00E66E71">
                    <w:trPr>
                      <w:trHeight w:val="299"/>
                      <w:jc w:val="center"/>
                    </w:trPr>
                    <w:tc>
                      <w:tcPr>
                        <w:tcW w:w="24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E66E71" w:rsidRDefault="007D266A" w:rsidP="00E66E71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نالی دیکسیک اسید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5/31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1/43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5/27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9/45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1/26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9/30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2/39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1/35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4/19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1/18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4/40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27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1/35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</w:tr>
                  <w:tr w:rsidR="003C2E34" w:rsidRPr="007D266A" w:rsidTr="00E66E71">
                    <w:trPr>
                      <w:trHeight w:val="299"/>
                      <w:jc w:val="center"/>
                    </w:trPr>
                    <w:tc>
                      <w:tcPr>
                        <w:tcW w:w="24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E66E71" w:rsidRDefault="007D266A" w:rsidP="00E66E71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سفالکسین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93/0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9/40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5/13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3/2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9/30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2/9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8/38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8/31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7/2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3/51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</w:tr>
                  <w:tr w:rsidR="003C2E34" w:rsidRPr="007D266A" w:rsidTr="00E66E71">
                    <w:trPr>
                      <w:trHeight w:val="299"/>
                      <w:jc w:val="center"/>
                    </w:trPr>
                    <w:tc>
                      <w:tcPr>
                        <w:tcW w:w="24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E66E71" w:rsidRDefault="007D266A" w:rsidP="00E66E71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جنتامایسین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3/15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6/24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40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7/21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A8453E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8453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1/26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8/23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72D29" w:rsidRDefault="007D266A" w:rsidP="008D6E1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72D29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4/46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5/18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6/16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2/22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8/10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7/29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</w:tr>
                  <w:tr w:rsidR="003C2E34" w:rsidRPr="007D266A" w:rsidTr="00E66E71">
                    <w:trPr>
                      <w:trHeight w:val="299"/>
                      <w:jc w:val="center"/>
                    </w:trPr>
                    <w:tc>
                      <w:tcPr>
                        <w:tcW w:w="24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E66E71" w:rsidRDefault="007D266A" w:rsidP="00E66E71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آمیکاسین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2/21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8/16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8/6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1/6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A8453E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A8453E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4/21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A8453E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A8453E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1/7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24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2/22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7/27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6/13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27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5/13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</w:tr>
                  <w:tr w:rsidR="003C2E34" w:rsidRPr="007D266A" w:rsidTr="00E66E71">
                    <w:trPr>
                      <w:trHeight w:val="299"/>
                      <w:jc w:val="center"/>
                    </w:trPr>
                    <w:tc>
                      <w:tcPr>
                        <w:tcW w:w="24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E66E71" w:rsidRDefault="007D266A" w:rsidP="00E66E71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E66E71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سفتریاکسون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6/10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5/6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6/7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6/8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1/7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1/7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7/3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5/5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1/11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72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5/13</w:t>
                        </w:r>
                      </w:p>
                    </w:tc>
                    <w:tc>
                      <w:tcPr>
                        <w:tcW w:w="724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8/10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41" w:type="dxa"/>
                        <w:gridSpan w:val="2"/>
                        <w:vAlign w:val="center"/>
                      </w:tcPr>
                      <w:p w:rsidR="007D266A" w:rsidRPr="007D266A" w:rsidRDefault="007D266A" w:rsidP="008D6E1D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7D266A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c>
                  </w:tr>
                </w:tbl>
                <w:p w:rsidR="007D266A" w:rsidRDefault="007D266A"/>
              </w:txbxContent>
            </v:textbox>
          </v:rect>
        </w:pict>
      </w:r>
    </w:p>
    <w:sectPr w:rsidR="007D266A" w:rsidRPr="005826C7" w:rsidSect="005826C7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826C7"/>
    <w:rsid w:val="003C2E34"/>
    <w:rsid w:val="005826C7"/>
    <w:rsid w:val="0069775F"/>
    <w:rsid w:val="00772D29"/>
    <w:rsid w:val="007D266A"/>
    <w:rsid w:val="008F25B9"/>
    <w:rsid w:val="009F7FDB"/>
    <w:rsid w:val="00A8453E"/>
    <w:rsid w:val="00D03FEC"/>
    <w:rsid w:val="00E66E71"/>
    <w:rsid w:val="00EE0732"/>
    <w:rsid w:val="00F4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5F"/>
  </w:style>
  <w:style w:type="paragraph" w:styleId="Heading3">
    <w:name w:val="heading 3"/>
    <w:basedOn w:val="Normal"/>
    <w:next w:val="Normal"/>
    <w:link w:val="Heading3Char"/>
    <w:unhideWhenUsed/>
    <w:qFormat/>
    <w:rsid w:val="007D266A"/>
    <w:pPr>
      <w:keepNext/>
      <w:keepLines/>
      <w:bidi/>
      <w:spacing w:before="120" w:after="0" w:line="360" w:lineRule="auto"/>
      <w:jc w:val="center"/>
      <w:outlineLvl w:val="2"/>
    </w:pPr>
    <w:rPr>
      <w:rFonts w:ascii="Times New Roman" w:eastAsiaTheme="majorEastAsia" w:hAnsi="Times New Roman" w:cs="B Lotus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266A"/>
    <w:rPr>
      <w:rFonts w:ascii="Times New Roman" w:eastAsiaTheme="majorEastAsia" w:hAnsi="Times New Roman" w:cs="B Lotus"/>
      <w:sz w:val="24"/>
    </w:rPr>
  </w:style>
  <w:style w:type="table" w:styleId="TableGrid">
    <w:name w:val="Table Grid"/>
    <w:basedOn w:val="TableNormal"/>
    <w:uiPriority w:val="39"/>
    <w:rsid w:val="007D266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rgbClr val="FF0000"/>
            </a:solidFill>
          </c:spPr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Pt>
            <c:idx val="4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Lbls>
            <c:dLbl>
              <c:idx val="3"/>
              <c:layout/>
              <c:dLblPos val="inEnd"/>
              <c:showVal val="1"/>
            </c:dLbl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Val val="1"/>
            <c:showLeaderLines val="1"/>
          </c:dLbls>
          <c:cat>
            <c:strRef>
              <c:f>Sheet1!$A$2:$A$6</c:f>
              <c:strCache>
                <c:ptCount val="5"/>
                <c:pt idx="0">
                  <c:v>E.coli</c:v>
                </c:pt>
                <c:pt idx="1">
                  <c:v>کلبسیلا</c:v>
                </c:pt>
                <c:pt idx="2">
                  <c:v>انتروباکتر</c:v>
                </c:pt>
                <c:pt idx="3">
                  <c:v>پروتئوس</c:v>
                </c:pt>
                <c:pt idx="4">
                  <c:v>سایر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67.5</c:v>
                </c:pt>
                <c:pt idx="1">
                  <c:v>11.6</c:v>
                </c:pt>
                <c:pt idx="2">
                  <c:v>6.9</c:v>
                </c:pt>
                <c:pt idx="3">
                  <c:v>4.5999999999999996</c:v>
                </c:pt>
                <c:pt idx="4">
                  <c:v>10.51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100">
              <a:cs typeface="B Nazanin" pitchFamily="2" charset="-78"/>
            </a:defRPr>
          </a:pPr>
          <a:endParaRPr lang="en-US"/>
        </a:p>
      </c:txPr>
    </c:legend>
    <c:plotVisOnly val="1"/>
  </c:chart>
  <c:txPr>
    <a:bodyPr/>
    <a:lstStyle/>
    <a:p>
      <a:pPr>
        <a:defRPr sz="1800"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%S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Lbl>
              <c:idx val="3"/>
              <c:layout/>
              <c:showVal val="1"/>
            </c:dLbl>
            <c:delete val="1"/>
          </c:dLbls>
          <c:cat>
            <c:strRef>
              <c:f>Sheet1!$A$2:$A$11</c:f>
              <c:strCache>
                <c:ptCount val="10"/>
                <c:pt idx="0">
                  <c:v>سیپروفلوکساسین</c:v>
                </c:pt>
                <c:pt idx="1">
                  <c:v>کوتریموکسازول</c:v>
                </c:pt>
                <c:pt idx="2">
                  <c:v>سفکسیم</c:v>
                </c:pt>
                <c:pt idx="3">
                  <c:v>نیتروفورانتوئین</c:v>
                </c:pt>
                <c:pt idx="4">
                  <c:v>نالی دیکسیک اسید</c:v>
                </c:pt>
                <c:pt idx="5">
                  <c:v>جنتامایسین</c:v>
                </c:pt>
                <c:pt idx="6">
                  <c:v>آمیکاسین</c:v>
                </c:pt>
                <c:pt idx="7">
                  <c:v>سفتریاکسون</c:v>
                </c:pt>
                <c:pt idx="8">
                  <c:v>سفالکسین</c:v>
                </c:pt>
                <c:pt idx="9">
                  <c:v>آمپی سیلین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61.6</c:v>
                </c:pt>
                <c:pt idx="1">
                  <c:v>32.300000000000004</c:v>
                </c:pt>
                <c:pt idx="2">
                  <c:v>30.4</c:v>
                </c:pt>
                <c:pt idx="3">
                  <c:v>30.3</c:v>
                </c:pt>
                <c:pt idx="4">
                  <c:v>29</c:v>
                </c:pt>
                <c:pt idx="5">
                  <c:v>26.1</c:v>
                </c:pt>
                <c:pt idx="6">
                  <c:v>15</c:v>
                </c:pt>
                <c:pt idx="7">
                  <c:v>9.4</c:v>
                </c:pt>
                <c:pt idx="8">
                  <c:v>1.2</c:v>
                </c:pt>
                <c:pt idx="9">
                  <c:v>0.64000000000000112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%R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dLbls>
            <c:dLbl>
              <c:idx val="1"/>
              <c:layout/>
              <c:showVal val="1"/>
            </c:dLbl>
            <c:dLbl>
              <c:idx val="4"/>
              <c:layout/>
              <c:showVal val="1"/>
            </c:dLbl>
            <c:dLbl>
              <c:idx val="9"/>
              <c:layout/>
              <c:showVal val="1"/>
            </c:dLbl>
            <c:delete val="1"/>
          </c:dLbls>
          <c:cat>
            <c:strRef>
              <c:f>Sheet1!$A$2:$A$11</c:f>
              <c:strCache>
                <c:ptCount val="10"/>
                <c:pt idx="0">
                  <c:v>سیپروفلوکساسین</c:v>
                </c:pt>
                <c:pt idx="1">
                  <c:v>کوتریموکسازول</c:v>
                </c:pt>
                <c:pt idx="2">
                  <c:v>سفکسیم</c:v>
                </c:pt>
                <c:pt idx="3">
                  <c:v>نیتروفورانتوئین</c:v>
                </c:pt>
                <c:pt idx="4">
                  <c:v>نالی دیکسیک اسید</c:v>
                </c:pt>
                <c:pt idx="5">
                  <c:v>جنتامایسین</c:v>
                </c:pt>
                <c:pt idx="6">
                  <c:v>آمیکاسین</c:v>
                </c:pt>
                <c:pt idx="7">
                  <c:v>سفتریاکسون</c:v>
                </c:pt>
                <c:pt idx="8">
                  <c:v>سفالکسین</c:v>
                </c:pt>
                <c:pt idx="9">
                  <c:v>آمپی سیلین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18</c:v>
                </c:pt>
                <c:pt idx="1">
                  <c:v>52.5</c:v>
                </c:pt>
                <c:pt idx="2">
                  <c:v>33.200000000000003</c:v>
                </c:pt>
                <c:pt idx="3">
                  <c:v>16</c:v>
                </c:pt>
                <c:pt idx="4">
                  <c:v>42.5</c:v>
                </c:pt>
                <c:pt idx="5">
                  <c:v>22.3</c:v>
                </c:pt>
                <c:pt idx="6">
                  <c:v>14.1</c:v>
                </c:pt>
                <c:pt idx="7">
                  <c:v>7.3</c:v>
                </c:pt>
                <c:pt idx="8">
                  <c:v>29</c:v>
                </c:pt>
                <c:pt idx="9">
                  <c:v>55</c:v>
                </c:pt>
              </c:numCache>
            </c:numRef>
          </c:val>
        </c:ser>
        <c:axId val="96038272"/>
        <c:axId val="96133888"/>
      </c:barChart>
      <c:catAx>
        <c:axId val="96038272"/>
        <c:scaling>
          <c:orientation val="minMax"/>
        </c:scaling>
        <c:axPos val="b"/>
        <c:tickLblPos val="nextTo"/>
        <c:txPr>
          <a:bodyPr/>
          <a:lstStyle/>
          <a:p>
            <a:pPr>
              <a:defRPr lang="fa-IR"/>
            </a:pPr>
            <a:endParaRPr lang="en-US"/>
          </a:p>
        </c:txPr>
        <c:crossAx val="96133888"/>
        <c:crosses val="autoZero"/>
        <c:auto val="1"/>
        <c:lblAlgn val="ctr"/>
        <c:lblOffset val="100"/>
      </c:catAx>
      <c:valAx>
        <c:axId val="96133888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lang="fa-IR"/>
                </a:pPr>
                <a:r>
                  <a:rPr lang="fa-IR"/>
                  <a:t>درصد</a:t>
                </a:r>
                <a:endParaRPr lang="en-US"/>
              </a:p>
            </c:rich>
          </c:tx>
          <c:layout/>
        </c:title>
        <c:numFmt formatCode="General" sourceLinked="1"/>
        <c:tickLblPos val="nextTo"/>
        <c:txPr>
          <a:bodyPr/>
          <a:lstStyle/>
          <a:p>
            <a:pPr>
              <a:defRPr lang="fa-IR"/>
            </a:pPr>
            <a:endParaRPr lang="en-US"/>
          </a:p>
        </c:txPr>
        <c:crossAx val="9603827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fa-IR"/>
          </a:pPr>
          <a:endParaRPr lang="en-US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%S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elete val="1"/>
          </c:dLbls>
          <c:cat>
            <c:strRef>
              <c:f>Sheet1!$A$2:$A$11</c:f>
              <c:strCache>
                <c:ptCount val="10"/>
                <c:pt idx="0">
                  <c:v>سیپروفلوکساسین</c:v>
                </c:pt>
                <c:pt idx="1">
                  <c:v>نیتروفورانتوئین</c:v>
                </c:pt>
                <c:pt idx="2">
                  <c:v>کوتریموکسازول</c:v>
                </c:pt>
                <c:pt idx="3">
                  <c:v>سفکسیم</c:v>
                </c:pt>
                <c:pt idx="4">
                  <c:v>نالی دیکسیک اسید</c:v>
                </c:pt>
                <c:pt idx="5">
                  <c:v>جنتامایسین</c:v>
                </c:pt>
                <c:pt idx="6">
                  <c:v>آمیکاسین</c:v>
                </c:pt>
                <c:pt idx="7">
                  <c:v>سفتریاکسون</c:v>
                </c:pt>
                <c:pt idx="8">
                  <c:v>سفالکسین</c:v>
                </c:pt>
                <c:pt idx="9">
                  <c:v>آمپی سیلین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66.3</c:v>
                </c:pt>
                <c:pt idx="1">
                  <c:v>33.300000000000004</c:v>
                </c:pt>
                <c:pt idx="2">
                  <c:v>32.200000000000003</c:v>
                </c:pt>
                <c:pt idx="3">
                  <c:v>31.9</c:v>
                </c:pt>
                <c:pt idx="4">
                  <c:v>29.8</c:v>
                </c:pt>
                <c:pt idx="5">
                  <c:v>26.1</c:v>
                </c:pt>
                <c:pt idx="6">
                  <c:v>14.9</c:v>
                </c:pt>
                <c:pt idx="7">
                  <c:v>9.3000000000000007</c:v>
                </c:pt>
                <c:pt idx="8">
                  <c:v>1.4</c:v>
                </c:pt>
                <c:pt idx="9">
                  <c:v>0.70000000000000062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%R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dLbls>
            <c:dLbl>
              <c:idx val="2"/>
              <c:layout/>
              <c:showVal val="1"/>
            </c:dLbl>
            <c:dLbl>
              <c:idx val="4"/>
              <c:layout/>
              <c:showVal val="1"/>
            </c:dLbl>
            <c:dLbl>
              <c:idx val="9"/>
              <c:layout/>
              <c:showVal val="1"/>
            </c:dLbl>
            <c:delete val="1"/>
          </c:dLbls>
          <c:cat>
            <c:strRef>
              <c:f>Sheet1!$A$2:$A$11</c:f>
              <c:strCache>
                <c:ptCount val="10"/>
                <c:pt idx="0">
                  <c:v>سیپروفلوکساسین</c:v>
                </c:pt>
                <c:pt idx="1">
                  <c:v>نیتروفورانتوئین</c:v>
                </c:pt>
                <c:pt idx="2">
                  <c:v>کوتریموکسازول</c:v>
                </c:pt>
                <c:pt idx="3">
                  <c:v>سفکسیم</c:v>
                </c:pt>
                <c:pt idx="4">
                  <c:v>نالی دیکسیک اسید</c:v>
                </c:pt>
                <c:pt idx="5">
                  <c:v>جنتامایسین</c:v>
                </c:pt>
                <c:pt idx="6">
                  <c:v>آمیکاسین</c:v>
                </c:pt>
                <c:pt idx="7">
                  <c:v>سفتریاکسون</c:v>
                </c:pt>
                <c:pt idx="8">
                  <c:v>سفالکسین</c:v>
                </c:pt>
                <c:pt idx="9">
                  <c:v>آمپی سیلین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17.8</c:v>
                </c:pt>
                <c:pt idx="1">
                  <c:v>12.1</c:v>
                </c:pt>
                <c:pt idx="2">
                  <c:v>53.9</c:v>
                </c:pt>
                <c:pt idx="3">
                  <c:v>21.5</c:v>
                </c:pt>
                <c:pt idx="4">
                  <c:v>44</c:v>
                </c:pt>
                <c:pt idx="5">
                  <c:v>23.2</c:v>
                </c:pt>
                <c:pt idx="6">
                  <c:v>12.1</c:v>
                </c:pt>
                <c:pt idx="7">
                  <c:v>7.4</c:v>
                </c:pt>
                <c:pt idx="8">
                  <c:v>28.9</c:v>
                </c:pt>
                <c:pt idx="9">
                  <c:v>55.2</c:v>
                </c:pt>
              </c:numCache>
            </c:numRef>
          </c:val>
        </c:ser>
        <c:axId val="171843584"/>
        <c:axId val="171845120"/>
      </c:barChart>
      <c:catAx>
        <c:axId val="171843584"/>
        <c:scaling>
          <c:orientation val="minMax"/>
        </c:scaling>
        <c:axPos val="b"/>
        <c:tickLblPos val="nextTo"/>
        <c:txPr>
          <a:bodyPr/>
          <a:lstStyle/>
          <a:p>
            <a:pPr>
              <a:defRPr lang="fa-IR"/>
            </a:pPr>
            <a:endParaRPr lang="en-US"/>
          </a:p>
        </c:txPr>
        <c:crossAx val="171845120"/>
        <c:crosses val="autoZero"/>
        <c:auto val="1"/>
        <c:lblAlgn val="ctr"/>
        <c:lblOffset val="100"/>
      </c:catAx>
      <c:valAx>
        <c:axId val="171845120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lang="fa-IR"/>
                </a:pPr>
                <a:r>
                  <a:rPr lang="fa-IR"/>
                  <a:t>درصد</a:t>
                </a:r>
                <a:endParaRPr lang="en-US"/>
              </a:p>
            </c:rich>
          </c:tx>
          <c:layout/>
        </c:title>
        <c:numFmt formatCode="General" sourceLinked="1"/>
        <c:tickLblPos val="nextTo"/>
        <c:txPr>
          <a:bodyPr/>
          <a:lstStyle/>
          <a:p>
            <a:pPr>
              <a:defRPr lang="fa-IR"/>
            </a:pPr>
            <a:endParaRPr lang="en-US"/>
          </a:p>
        </c:txPr>
        <c:crossAx val="17184358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fa-IR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</dc:creator>
  <cp:lastModifiedBy>Pharma</cp:lastModifiedBy>
  <cp:revision>9</cp:revision>
  <dcterms:created xsi:type="dcterms:W3CDTF">2014-09-10T04:34:00Z</dcterms:created>
  <dcterms:modified xsi:type="dcterms:W3CDTF">2014-09-13T05:21:00Z</dcterms:modified>
</cp:coreProperties>
</file>